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D1EF7" w14:textId="77777777" w:rsidR="00277BD8" w:rsidRPr="00B22975" w:rsidRDefault="00277BD8" w:rsidP="00277BD8">
      <w:r w:rsidRPr="00B22975">
        <w:rPr>
          <w:spacing w:val="-2"/>
        </w:rPr>
        <w:t>The</w:t>
      </w:r>
      <w:r w:rsidRPr="00B22975">
        <w:rPr>
          <w:spacing w:val="-5"/>
        </w:rPr>
        <w:t xml:space="preserve"> </w:t>
      </w:r>
      <w:r w:rsidRPr="00B22975">
        <w:rPr>
          <w:spacing w:val="-2"/>
        </w:rPr>
        <w:t>goal</w:t>
      </w:r>
      <w:r w:rsidRPr="00B22975">
        <w:rPr>
          <w:spacing w:val="-3"/>
        </w:rPr>
        <w:t xml:space="preserve"> </w:t>
      </w:r>
      <w:r w:rsidRPr="00B22975">
        <w:rPr>
          <w:spacing w:val="-2"/>
        </w:rPr>
        <w:t>of</w:t>
      </w:r>
      <w:r w:rsidRPr="00B22975">
        <w:t xml:space="preserve"> </w:t>
      </w:r>
      <w:r w:rsidRPr="00B22975">
        <w:rPr>
          <w:spacing w:val="-2"/>
        </w:rPr>
        <w:t>health</w:t>
      </w:r>
      <w:r w:rsidRPr="00B22975">
        <w:rPr>
          <w:spacing w:val="-4"/>
        </w:rPr>
        <w:t xml:space="preserve"> </w:t>
      </w:r>
      <w:r w:rsidRPr="00B22975">
        <w:t>information</w:t>
      </w:r>
      <w:r w:rsidRPr="00B22975">
        <w:rPr>
          <w:spacing w:val="-2"/>
        </w:rPr>
        <w:t xml:space="preserve"> </w:t>
      </w:r>
      <w:r w:rsidRPr="00B22975">
        <w:t>exchange (HIE)</w:t>
      </w:r>
      <w:r w:rsidRPr="00B22975">
        <w:rPr>
          <w:spacing w:val="-5"/>
        </w:rPr>
        <w:t xml:space="preserve"> </w:t>
      </w:r>
      <w:r w:rsidRPr="00B22975">
        <w:t xml:space="preserve">is </w:t>
      </w:r>
      <w:r w:rsidRPr="00B22975">
        <w:rPr>
          <w:spacing w:val="1"/>
        </w:rPr>
        <w:t>to</w:t>
      </w:r>
      <w:r w:rsidRPr="00B22975">
        <w:rPr>
          <w:spacing w:val="-5"/>
        </w:rPr>
        <w:t xml:space="preserve"> </w:t>
      </w:r>
      <w:r w:rsidRPr="00B22975">
        <w:rPr>
          <w:spacing w:val="-2"/>
        </w:rPr>
        <w:t>help</w:t>
      </w:r>
      <w:r w:rsidRPr="00B22975">
        <w:t xml:space="preserve"> make</w:t>
      </w:r>
      <w:r w:rsidRPr="00B22975">
        <w:rPr>
          <w:spacing w:val="-4"/>
        </w:rPr>
        <w:t xml:space="preserve"> </w:t>
      </w:r>
      <w:r w:rsidRPr="00B22975">
        <w:t>health</w:t>
      </w:r>
      <w:r w:rsidRPr="00B22975">
        <w:rPr>
          <w:spacing w:val="-5"/>
        </w:rPr>
        <w:t xml:space="preserve"> </w:t>
      </w:r>
      <w:r w:rsidRPr="00B22975">
        <w:t>information</w:t>
      </w:r>
      <w:r w:rsidRPr="00B22975">
        <w:rPr>
          <w:spacing w:val="-2"/>
        </w:rPr>
        <w:t xml:space="preserve"> </w:t>
      </w:r>
      <w:r w:rsidRPr="00B22975">
        <w:t>available</w:t>
      </w:r>
      <w:r w:rsidRPr="00B22975">
        <w:rPr>
          <w:spacing w:val="57"/>
        </w:rPr>
        <w:t xml:space="preserve"> </w:t>
      </w:r>
      <w:r w:rsidRPr="00B22975">
        <w:rPr>
          <w:spacing w:val="-2"/>
        </w:rPr>
        <w:t>when</w:t>
      </w:r>
      <w:r w:rsidRPr="00B22975">
        <w:t xml:space="preserve"> and </w:t>
      </w:r>
      <w:r w:rsidRPr="00B22975">
        <w:rPr>
          <w:spacing w:val="-2"/>
        </w:rPr>
        <w:t>where</w:t>
      </w:r>
      <w:r w:rsidRPr="00B22975">
        <w:rPr>
          <w:spacing w:val="-3"/>
        </w:rPr>
        <w:t xml:space="preserve"> </w:t>
      </w:r>
      <w:r w:rsidRPr="00B22975">
        <w:t>it</w:t>
      </w:r>
      <w:r w:rsidRPr="00B22975">
        <w:rPr>
          <w:spacing w:val="-3"/>
        </w:rPr>
        <w:t xml:space="preserve"> </w:t>
      </w:r>
      <w:r w:rsidRPr="00B22975">
        <w:t>is needed, to</w:t>
      </w:r>
      <w:r w:rsidRPr="00B22975">
        <w:rPr>
          <w:spacing w:val="-3"/>
        </w:rPr>
        <w:t xml:space="preserve"> </w:t>
      </w:r>
      <w:r w:rsidRPr="00B22975">
        <w:t>improve</w:t>
      </w:r>
      <w:r w:rsidRPr="00B22975">
        <w:rPr>
          <w:spacing w:val="-4"/>
        </w:rPr>
        <w:t xml:space="preserve"> </w:t>
      </w:r>
      <w:r w:rsidRPr="00B22975">
        <w:t>the</w:t>
      </w:r>
      <w:r w:rsidRPr="00B22975">
        <w:rPr>
          <w:spacing w:val="-4"/>
        </w:rPr>
        <w:t xml:space="preserve"> </w:t>
      </w:r>
      <w:r w:rsidRPr="00B22975">
        <w:t>quality</w:t>
      </w:r>
      <w:r w:rsidRPr="00B22975">
        <w:rPr>
          <w:spacing w:val="-2"/>
        </w:rPr>
        <w:t xml:space="preserve"> </w:t>
      </w:r>
      <w:r w:rsidRPr="00B22975">
        <w:t>and safety</w:t>
      </w:r>
      <w:r w:rsidRPr="00B22975">
        <w:rPr>
          <w:spacing w:val="-2"/>
        </w:rPr>
        <w:t xml:space="preserve"> of</w:t>
      </w:r>
      <w:r w:rsidRPr="00B22975">
        <w:rPr>
          <w:spacing w:val="1"/>
        </w:rPr>
        <w:t xml:space="preserve"> </w:t>
      </w:r>
      <w:r w:rsidRPr="00B22975">
        <w:rPr>
          <w:spacing w:val="-2"/>
        </w:rPr>
        <w:t>health</w:t>
      </w:r>
      <w:r w:rsidRPr="00B22975">
        <w:rPr>
          <w:spacing w:val="-4"/>
        </w:rPr>
        <w:t xml:space="preserve"> </w:t>
      </w:r>
      <w:r w:rsidRPr="00B22975">
        <w:t>care while honoring each patient’s decision on how – or if - they want their data to be shared.  In</w:t>
      </w:r>
      <w:r w:rsidRPr="00B22975">
        <w:rPr>
          <w:spacing w:val="43"/>
        </w:rPr>
        <w:t xml:space="preserve"> </w:t>
      </w:r>
      <w:r w:rsidRPr="00B22975">
        <w:rPr>
          <w:spacing w:val="-2"/>
        </w:rPr>
        <w:t>Minnesota,</w:t>
      </w:r>
      <w:r w:rsidRPr="00B22975">
        <w:rPr>
          <w:spacing w:val="-3"/>
        </w:rPr>
        <w:t xml:space="preserve"> while </w:t>
      </w:r>
      <w:r w:rsidRPr="00B22975">
        <w:t>many</w:t>
      </w:r>
      <w:r w:rsidRPr="00B22975">
        <w:rPr>
          <w:spacing w:val="-3"/>
        </w:rPr>
        <w:t xml:space="preserve"> </w:t>
      </w:r>
      <w:r w:rsidRPr="00B22975">
        <w:t>efforts are</w:t>
      </w:r>
      <w:r w:rsidRPr="00B22975">
        <w:rPr>
          <w:spacing w:val="-4"/>
        </w:rPr>
        <w:t xml:space="preserve"> </w:t>
      </w:r>
      <w:r w:rsidRPr="00B22975">
        <w:t>underway</w:t>
      </w:r>
      <w:r w:rsidRPr="00B22975">
        <w:rPr>
          <w:spacing w:val="-3"/>
        </w:rPr>
        <w:t xml:space="preserve"> </w:t>
      </w:r>
      <w:r w:rsidRPr="00B22975">
        <w:t>to</w:t>
      </w:r>
      <w:r w:rsidRPr="00B22975">
        <w:rPr>
          <w:spacing w:val="-5"/>
        </w:rPr>
        <w:t xml:space="preserve"> </w:t>
      </w:r>
      <w:r w:rsidRPr="00B22975">
        <w:rPr>
          <w:spacing w:val="-2"/>
        </w:rPr>
        <w:t>help</w:t>
      </w:r>
      <w:r w:rsidRPr="00B22975">
        <w:t xml:space="preserve"> achieve</w:t>
      </w:r>
      <w:r w:rsidRPr="00B22975">
        <w:rPr>
          <w:spacing w:val="-5"/>
        </w:rPr>
        <w:t xml:space="preserve"> </w:t>
      </w:r>
      <w:r w:rsidRPr="00B22975">
        <w:t>the</w:t>
      </w:r>
      <w:r w:rsidRPr="00B22975">
        <w:rPr>
          <w:spacing w:val="-5"/>
        </w:rPr>
        <w:t xml:space="preserve"> </w:t>
      </w:r>
      <w:r w:rsidRPr="00B22975">
        <w:t>secure</w:t>
      </w:r>
      <w:r w:rsidRPr="00B22975">
        <w:rPr>
          <w:spacing w:val="-4"/>
        </w:rPr>
        <w:t xml:space="preserve"> </w:t>
      </w:r>
      <w:r w:rsidRPr="00B22975">
        <w:t>electronic</w:t>
      </w:r>
      <w:r w:rsidRPr="00B22975">
        <w:rPr>
          <w:spacing w:val="-4"/>
        </w:rPr>
        <w:t xml:space="preserve"> </w:t>
      </w:r>
      <w:r w:rsidRPr="00B22975">
        <w:t>exchange</w:t>
      </w:r>
      <w:r w:rsidRPr="00B22975">
        <w:rPr>
          <w:spacing w:val="-5"/>
        </w:rPr>
        <w:t xml:space="preserve"> </w:t>
      </w:r>
      <w:r w:rsidRPr="00B22975">
        <w:rPr>
          <w:spacing w:val="-2"/>
        </w:rPr>
        <w:t>of</w:t>
      </w:r>
      <w:r w:rsidRPr="00B22975">
        <w:rPr>
          <w:spacing w:val="71"/>
          <w:w w:val="99"/>
        </w:rPr>
        <w:t xml:space="preserve"> </w:t>
      </w:r>
      <w:r w:rsidRPr="00B22975">
        <w:rPr>
          <w:spacing w:val="-2"/>
        </w:rPr>
        <w:t>clinical</w:t>
      </w:r>
      <w:r w:rsidRPr="00B22975">
        <w:rPr>
          <w:spacing w:val="-5"/>
        </w:rPr>
        <w:t xml:space="preserve"> </w:t>
      </w:r>
      <w:r w:rsidRPr="00B22975">
        <w:t>information</w:t>
      </w:r>
      <w:r w:rsidRPr="00B22975">
        <w:rPr>
          <w:spacing w:val="-4"/>
        </w:rPr>
        <w:t xml:space="preserve"> </w:t>
      </w:r>
      <w:r w:rsidRPr="00B22975">
        <w:t>between</w:t>
      </w:r>
      <w:r w:rsidRPr="00B22975">
        <w:rPr>
          <w:spacing w:val="-3"/>
        </w:rPr>
        <w:t xml:space="preserve"> </w:t>
      </w:r>
      <w:r w:rsidRPr="00B22975">
        <w:t>organizations</w:t>
      </w:r>
      <w:r w:rsidRPr="00B22975">
        <w:rPr>
          <w:spacing w:val="-3"/>
        </w:rPr>
        <w:t xml:space="preserve"> </w:t>
      </w:r>
      <w:r w:rsidR="00105FD6" w:rsidRPr="00B22975">
        <w:rPr>
          <w:spacing w:val="-3"/>
        </w:rPr>
        <w:t xml:space="preserve">in </w:t>
      </w:r>
      <w:r w:rsidRPr="00B22975">
        <w:t>alignment with patient preferences, many providers and patients continue to report barriers to this process happening as envisioned.</w:t>
      </w:r>
    </w:p>
    <w:p w14:paraId="04DD1EF8" w14:textId="77777777" w:rsidR="00277BD8" w:rsidRPr="00B22975" w:rsidRDefault="00277BD8" w:rsidP="00277BD8">
      <w:r w:rsidRPr="00B22975">
        <w:t xml:space="preserve">The Care Delivery </w:t>
      </w:r>
      <w:r w:rsidR="00906920">
        <w:t xml:space="preserve">&amp; </w:t>
      </w:r>
      <w:r w:rsidRPr="00B22975">
        <w:t xml:space="preserve">Sustainability workgroup discussed a range of options for supporting secure health information exchange (HIE) in Minnesota to achieve </w:t>
      </w:r>
      <w:r w:rsidR="00B22975" w:rsidRPr="00B22975">
        <w:t xml:space="preserve">statewide </w:t>
      </w:r>
      <w:r w:rsidRPr="00B22975">
        <w:t>goals related to both individual and population health</w:t>
      </w:r>
      <w:r w:rsidR="00B22975" w:rsidRPr="00B22975">
        <w:t xml:space="preserve"> while continuing to prioritize patient control of information</w:t>
      </w:r>
      <w:r w:rsidRPr="00B22975">
        <w:t>.  The group identified several options that should be prioritized for action in the short term, while recognizing that other options, though not as feasible in the short term, still had merit.</w:t>
      </w:r>
    </w:p>
    <w:p w14:paraId="04DD1EF9" w14:textId="77777777" w:rsidR="00563704" w:rsidRDefault="00563704" w:rsidP="00277BD8">
      <w:pPr>
        <w:rPr>
          <w:b/>
          <w:spacing w:val="-3"/>
        </w:rPr>
      </w:pPr>
    </w:p>
    <w:p w14:paraId="04DD1EFA" w14:textId="77777777" w:rsidR="00277BD8" w:rsidRPr="00B22975" w:rsidRDefault="00277BD8" w:rsidP="00277BD8">
      <w:pPr>
        <w:rPr>
          <w:b/>
          <w:spacing w:val="-3"/>
        </w:rPr>
      </w:pPr>
      <w:r w:rsidRPr="00B22975">
        <w:rPr>
          <w:b/>
          <w:spacing w:val="-3"/>
        </w:rPr>
        <w:t xml:space="preserve">Preliminary Recommendations for </w:t>
      </w:r>
      <w:r w:rsidR="005C0A92">
        <w:rPr>
          <w:b/>
          <w:spacing w:val="-3"/>
        </w:rPr>
        <w:t>immediate</w:t>
      </w:r>
      <w:r w:rsidRPr="00B22975">
        <w:rPr>
          <w:b/>
          <w:spacing w:val="-3"/>
        </w:rPr>
        <w:t xml:space="preserve"> action</w:t>
      </w:r>
      <w:r w:rsidR="00105FD6" w:rsidRPr="00B22975">
        <w:rPr>
          <w:b/>
          <w:spacing w:val="-3"/>
        </w:rPr>
        <w:t>:</w:t>
      </w:r>
    </w:p>
    <w:p w14:paraId="04DD1EFB" w14:textId="77777777" w:rsidR="00474F41" w:rsidRPr="00B22975" w:rsidRDefault="00277BD8" w:rsidP="00277BD8">
      <w:pPr>
        <w:pStyle w:val="ListParagraph"/>
        <w:numPr>
          <w:ilvl w:val="0"/>
          <w:numId w:val="1"/>
        </w:numPr>
        <w:rPr>
          <w:spacing w:val="-3"/>
        </w:rPr>
      </w:pPr>
      <w:r w:rsidRPr="00B22975">
        <w:rPr>
          <w:spacing w:val="-3"/>
        </w:rPr>
        <w:t>Make technical updates</w:t>
      </w:r>
      <w:r w:rsidR="00474F41" w:rsidRPr="00B22975">
        <w:rPr>
          <w:spacing w:val="-3"/>
        </w:rPr>
        <w:t xml:space="preserve"> and clarifications</w:t>
      </w:r>
      <w:r w:rsidRPr="00B22975">
        <w:rPr>
          <w:spacing w:val="-3"/>
        </w:rPr>
        <w:t xml:space="preserve"> to Minnesota’s Health Records Act</w:t>
      </w:r>
      <w:r w:rsidR="00105FD6" w:rsidRPr="00B22975">
        <w:rPr>
          <w:spacing w:val="-3"/>
        </w:rPr>
        <w:t xml:space="preserve"> to leave</w:t>
      </w:r>
      <w:r w:rsidR="00474F41" w:rsidRPr="00B22975">
        <w:rPr>
          <w:spacing w:val="-3"/>
        </w:rPr>
        <w:t xml:space="preserve"> a patient’s ability to specify how their information can be shared intact</w:t>
      </w:r>
      <w:r w:rsidR="00105FD6" w:rsidRPr="00B22975">
        <w:rPr>
          <w:spacing w:val="-3"/>
        </w:rPr>
        <w:t xml:space="preserve"> but allow patient consent preferences to be more easily operationalized</w:t>
      </w:r>
      <w:r w:rsidR="00B22975" w:rsidRPr="00B22975">
        <w:rPr>
          <w:spacing w:val="-3"/>
        </w:rPr>
        <w:t xml:space="preserve"> at the provider level</w:t>
      </w:r>
      <w:r w:rsidR="00474F41" w:rsidRPr="00B22975">
        <w:rPr>
          <w:spacing w:val="-3"/>
        </w:rPr>
        <w:t>.</w:t>
      </w:r>
    </w:p>
    <w:p w14:paraId="04DD1EFC" w14:textId="1EF3E7C0" w:rsidR="00277BD8" w:rsidRPr="00B22975" w:rsidRDefault="00474F41" w:rsidP="00277BD8">
      <w:pPr>
        <w:pStyle w:val="ListParagraph"/>
        <w:numPr>
          <w:ilvl w:val="0"/>
          <w:numId w:val="1"/>
        </w:numPr>
        <w:rPr>
          <w:spacing w:val="-3"/>
        </w:rPr>
      </w:pPr>
      <w:r w:rsidRPr="00B22975">
        <w:rPr>
          <w:spacing w:val="-3"/>
        </w:rPr>
        <w:t xml:space="preserve">Provide ongoing education and technical assistance to health and health care providers and patients, about state and federal laws that govern how clinical health information can be stored, used, and shared, and about best practices for appropriately securing information and </w:t>
      </w:r>
      <w:r w:rsidR="00105FD6" w:rsidRPr="00B22975">
        <w:rPr>
          <w:spacing w:val="-3"/>
        </w:rPr>
        <w:t>preventing inappropriate use</w:t>
      </w:r>
      <w:r w:rsidR="008E0A4C">
        <w:rPr>
          <w:spacing w:val="-3"/>
        </w:rPr>
        <w:t>.</w:t>
      </w:r>
    </w:p>
    <w:p w14:paraId="04DD1EFD" w14:textId="77777777" w:rsidR="00474F41" w:rsidRPr="00B22975" w:rsidRDefault="00474F41" w:rsidP="00277BD8">
      <w:pPr>
        <w:pStyle w:val="ListParagraph"/>
        <w:numPr>
          <w:ilvl w:val="0"/>
          <w:numId w:val="1"/>
        </w:numPr>
        <w:rPr>
          <w:spacing w:val="-3"/>
        </w:rPr>
      </w:pPr>
      <w:r w:rsidRPr="00B22975">
        <w:rPr>
          <w:spacing w:val="-3"/>
        </w:rPr>
        <w:t xml:space="preserve">Conduct a </w:t>
      </w:r>
      <w:r w:rsidR="00105FD6" w:rsidRPr="00B22975">
        <w:rPr>
          <w:spacing w:val="-3"/>
        </w:rPr>
        <w:t xml:space="preserve">broad study on the appropriate </w:t>
      </w:r>
      <w:r w:rsidR="00B22975" w:rsidRPr="00B22975">
        <w:rPr>
          <w:spacing w:val="-3"/>
        </w:rPr>
        <w:t xml:space="preserve">future </w:t>
      </w:r>
      <w:r w:rsidR="00105FD6" w:rsidRPr="00B22975">
        <w:rPr>
          <w:spacing w:val="-3"/>
        </w:rPr>
        <w:t>structure, legal/regulatory framework, financing, and governance for HIE in Minnesota, building on lessons from other states and countries.</w:t>
      </w:r>
      <w:bookmarkStart w:id="0" w:name="_GoBack"/>
      <w:bookmarkEnd w:id="0"/>
    </w:p>
    <w:p w14:paraId="04DD1EFE" w14:textId="77777777" w:rsidR="00105FD6" w:rsidRPr="00B22975" w:rsidRDefault="00105FD6" w:rsidP="00105FD6">
      <w:pPr>
        <w:rPr>
          <w:b/>
          <w:spacing w:val="-3"/>
        </w:rPr>
      </w:pPr>
    </w:p>
    <w:p w14:paraId="04DD1EFF" w14:textId="77777777" w:rsidR="00105FD6" w:rsidRPr="00B22975" w:rsidRDefault="00105FD6" w:rsidP="00105FD6">
      <w:pPr>
        <w:rPr>
          <w:b/>
          <w:spacing w:val="-3"/>
        </w:rPr>
      </w:pPr>
      <w:r w:rsidRPr="00B22975">
        <w:rPr>
          <w:b/>
          <w:spacing w:val="-3"/>
        </w:rPr>
        <w:t xml:space="preserve">Options that need further discussion: </w:t>
      </w:r>
    </w:p>
    <w:p w14:paraId="04DD1F00" w14:textId="77777777" w:rsidR="00500F45" w:rsidRPr="00500F45" w:rsidRDefault="00500F45" w:rsidP="00105FD6">
      <w:pPr>
        <w:pStyle w:val="ListParagraph"/>
        <w:numPr>
          <w:ilvl w:val="0"/>
          <w:numId w:val="2"/>
        </w:numPr>
        <w:rPr>
          <w:spacing w:val="-3"/>
        </w:rPr>
      </w:pPr>
      <w:r>
        <w:t>Dependent on results of HIE study, consider other modifications to Minnesota’s Health Records Act, to align with federal HIPAA standards or to update opt-in or opt-out requirements.</w:t>
      </w:r>
    </w:p>
    <w:p w14:paraId="04DD1F01" w14:textId="77777777" w:rsidR="00920FED" w:rsidRPr="00B22975" w:rsidRDefault="00906920" w:rsidP="00105FD6">
      <w:pPr>
        <w:pStyle w:val="ListParagraph"/>
        <w:numPr>
          <w:ilvl w:val="0"/>
          <w:numId w:val="2"/>
        </w:numPr>
        <w:rPr>
          <w:spacing w:val="-3"/>
        </w:rPr>
      </w:pPr>
      <w:r w:rsidRPr="00B22975">
        <w:rPr>
          <w:spacing w:val="-3"/>
        </w:rPr>
        <w:t xml:space="preserve">Support expanded </w:t>
      </w:r>
      <w:r w:rsidR="00105FD6" w:rsidRPr="00B22975">
        <w:rPr>
          <w:spacing w:val="-3"/>
        </w:rPr>
        <w:t>health information technology</w:t>
      </w:r>
      <w:r w:rsidRPr="00B22975">
        <w:rPr>
          <w:spacing w:val="-3"/>
        </w:rPr>
        <w:t xml:space="preserve"> capabilities </w:t>
      </w:r>
      <w:r w:rsidR="00105FD6" w:rsidRPr="00B22975">
        <w:rPr>
          <w:spacing w:val="-3"/>
        </w:rPr>
        <w:t xml:space="preserve">(ex. EHRs) </w:t>
      </w:r>
      <w:r w:rsidRPr="00B22975">
        <w:rPr>
          <w:spacing w:val="-3"/>
        </w:rPr>
        <w:t xml:space="preserve">in </w:t>
      </w:r>
      <w:r w:rsidR="00105FD6" w:rsidRPr="00B22975">
        <w:rPr>
          <w:spacing w:val="-3"/>
        </w:rPr>
        <w:t xml:space="preserve">a </w:t>
      </w:r>
      <w:r w:rsidRPr="00B22975">
        <w:rPr>
          <w:spacing w:val="-3"/>
        </w:rPr>
        <w:t xml:space="preserve">broad range of </w:t>
      </w:r>
      <w:r w:rsidR="00105FD6" w:rsidRPr="00B22975">
        <w:rPr>
          <w:spacing w:val="-3"/>
        </w:rPr>
        <w:t xml:space="preserve">care </w:t>
      </w:r>
      <w:r w:rsidRPr="00B22975">
        <w:rPr>
          <w:spacing w:val="-3"/>
        </w:rPr>
        <w:t xml:space="preserve">settings, </w:t>
      </w:r>
      <w:r w:rsidR="00105FD6" w:rsidRPr="00B22975">
        <w:rPr>
          <w:spacing w:val="-3"/>
        </w:rPr>
        <w:t>to enable smaller and specialty providers to participate in HIE</w:t>
      </w:r>
      <w:r w:rsidR="00B22975">
        <w:rPr>
          <w:spacing w:val="-3"/>
        </w:rPr>
        <w:t>.</w:t>
      </w:r>
    </w:p>
    <w:p w14:paraId="04DD1F02" w14:textId="77777777" w:rsidR="00920FED" w:rsidRPr="00B22975" w:rsidRDefault="00906920" w:rsidP="00105FD6">
      <w:pPr>
        <w:pStyle w:val="ListParagraph"/>
        <w:numPr>
          <w:ilvl w:val="0"/>
          <w:numId w:val="2"/>
        </w:numPr>
        <w:rPr>
          <w:spacing w:val="-3"/>
        </w:rPr>
      </w:pPr>
      <w:r w:rsidRPr="00B22975">
        <w:rPr>
          <w:spacing w:val="-3"/>
        </w:rPr>
        <w:t xml:space="preserve">Consider </w:t>
      </w:r>
      <w:r w:rsidR="00105FD6" w:rsidRPr="00B22975">
        <w:rPr>
          <w:spacing w:val="-3"/>
        </w:rPr>
        <w:t xml:space="preserve">developing a </w:t>
      </w:r>
      <w:r w:rsidRPr="00B22975">
        <w:rPr>
          <w:spacing w:val="-3"/>
        </w:rPr>
        <w:t>funding mechanism for core HIE transactions</w:t>
      </w:r>
      <w:r w:rsidR="00105FD6" w:rsidRPr="00B22975">
        <w:rPr>
          <w:spacing w:val="-3"/>
        </w:rPr>
        <w:t xml:space="preserve">, such as </w:t>
      </w:r>
      <w:r w:rsidRPr="00B22975">
        <w:rPr>
          <w:spacing w:val="-3"/>
        </w:rPr>
        <w:t xml:space="preserve">admission/discharge/transfer alerts, care summaries, </w:t>
      </w:r>
      <w:r w:rsidR="00B22975">
        <w:rPr>
          <w:spacing w:val="-3"/>
        </w:rPr>
        <w:t xml:space="preserve">or </w:t>
      </w:r>
      <w:r w:rsidRPr="00B22975">
        <w:rPr>
          <w:spacing w:val="-3"/>
        </w:rPr>
        <w:t>care plans</w:t>
      </w:r>
      <w:r w:rsidR="00105FD6" w:rsidRPr="00B22975">
        <w:rPr>
          <w:spacing w:val="-3"/>
        </w:rPr>
        <w:t xml:space="preserve">, to ensure basic </w:t>
      </w:r>
      <w:r w:rsidR="00B22975">
        <w:rPr>
          <w:spacing w:val="-3"/>
        </w:rPr>
        <w:t>information can be exchanged</w:t>
      </w:r>
      <w:r w:rsidR="00105FD6" w:rsidRPr="00B22975">
        <w:rPr>
          <w:spacing w:val="-3"/>
        </w:rPr>
        <w:t xml:space="preserve"> statewide</w:t>
      </w:r>
      <w:r w:rsidR="00B22975">
        <w:rPr>
          <w:spacing w:val="-3"/>
        </w:rPr>
        <w:t>.</w:t>
      </w:r>
    </w:p>
    <w:p w14:paraId="04DD1F03" w14:textId="77777777" w:rsidR="00920FED" w:rsidRPr="00B22975" w:rsidRDefault="00906920" w:rsidP="00105FD6">
      <w:pPr>
        <w:pStyle w:val="ListParagraph"/>
        <w:numPr>
          <w:ilvl w:val="0"/>
          <w:numId w:val="2"/>
        </w:numPr>
        <w:rPr>
          <w:spacing w:val="-3"/>
        </w:rPr>
      </w:pPr>
      <w:r w:rsidRPr="00B22975">
        <w:rPr>
          <w:spacing w:val="-3"/>
        </w:rPr>
        <w:t xml:space="preserve">Support </w:t>
      </w:r>
      <w:r w:rsidR="00105FD6" w:rsidRPr="00B22975">
        <w:rPr>
          <w:spacing w:val="-3"/>
        </w:rPr>
        <w:t xml:space="preserve">the </w:t>
      </w:r>
      <w:r w:rsidRPr="00B22975">
        <w:rPr>
          <w:spacing w:val="-3"/>
        </w:rPr>
        <w:t>establishment of robust, sustainable</w:t>
      </w:r>
      <w:r w:rsidR="00B22975">
        <w:rPr>
          <w:spacing w:val="-3"/>
        </w:rPr>
        <w:t xml:space="preserve"> HIE</w:t>
      </w:r>
      <w:r w:rsidRPr="00B22975">
        <w:rPr>
          <w:spacing w:val="-3"/>
        </w:rPr>
        <w:t xml:space="preserve"> “shared services</w:t>
      </w:r>
      <w:r w:rsidR="00B22975">
        <w:rPr>
          <w:spacing w:val="-3"/>
        </w:rPr>
        <w:t>,</w:t>
      </w:r>
      <w:r w:rsidRPr="00B22975">
        <w:rPr>
          <w:spacing w:val="-3"/>
        </w:rPr>
        <w:t>”</w:t>
      </w:r>
      <w:r w:rsidR="00B22975">
        <w:rPr>
          <w:spacing w:val="-3"/>
        </w:rPr>
        <w:t xml:space="preserve"> such as consent </w:t>
      </w:r>
      <w:proofErr w:type="gramStart"/>
      <w:r w:rsidR="00B22975">
        <w:rPr>
          <w:spacing w:val="-3"/>
        </w:rPr>
        <w:t>management,</w:t>
      </w:r>
      <w:r w:rsidR="00105FD6" w:rsidRPr="00B22975">
        <w:rPr>
          <w:spacing w:val="-3"/>
        </w:rPr>
        <w:t xml:space="preserve"> that</w:t>
      </w:r>
      <w:proofErr w:type="gramEnd"/>
      <w:r w:rsidR="00105FD6" w:rsidRPr="00B22975">
        <w:rPr>
          <w:spacing w:val="-3"/>
        </w:rPr>
        <w:t xml:space="preserve"> would be available </w:t>
      </w:r>
      <w:r w:rsidR="00B22975">
        <w:rPr>
          <w:spacing w:val="-3"/>
        </w:rPr>
        <w:t>statewide through a central vendor.</w:t>
      </w:r>
      <w:r w:rsidRPr="00B22975">
        <w:rPr>
          <w:spacing w:val="-3"/>
        </w:rPr>
        <w:t xml:space="preserve"> </w:t>
      </w:r>
    </w:p>
    <w:p w14:paraId="04DD1F04" w14:textId="77777777" w:rsidR="00152177" w:rsidRDefault="00152177"/>
    <w:sectPr w:rsidR="00152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E217F"/>
    <w:multiLevelType w:val="hybridMultilevel"/>
    <w:tmpl w:val="9252F3F0"/>
    <w:lvl w:ilvl="0" w:tplc="CB8AEF26">
      <w:start w:val="1"/>
      <w:numFmt w:val="bullet"/>
      <w:lvlText w:val="•"/>
      <w:lvlJc w:val="left"/>
      <w:pPr>
        <w:tabs>
          <w:tab w:val="num" w:pos="720"/>
        </w:tabs>
        <w:ind w:left="720" w:hanging="360"/>
      </w:pPr>
      <w:rPr>
        <w:rFonts w:ascii="Arial" w:hAnsi="Arial" w:hint="default"/>
      </w:rPr>
    </w:lvl>
    <w:lvl w:ilvl="1" w:tplc="36CCA5D4" w:tentative="1">
      <w:start w:val="1"/>
      <w:numFmt w:val="bullet"/>
      <w:lvlText w:val="•"/>
      <w:lvlJc w:val="left"/>
      <w:pPr>
        <w:tabs>
          <w:tab w:val="num" w:pos="1440"/>
        </w:tabs>
        <w:ind w:left="1440" w:hanging="360"/>
      </w:pPr>
      <w:rPr>
        <w:rFonts w:ascii="Arial" w:hAnsi="Arial" w:hint="default"/>
      </w:rPr>
    </w:lvl>
    <w:lvl w:ilvl="2" w:tplc="5D28609A" w:tentative="1">
      <w:start w:val="1"/>
      <w:numFmt w:val="bullet"/>
      <w:lvlText w:val="•"/>
      <w:lvlJc w:val="left"/>
      <w:pPr>
        <w:tabs>
          <w:tab w:val="num" w:pos="2160"/>
        </w:tabs>
        <w:ind w:left="2160" w:hanging="360"/>
      </w:pPr>
      <w:rPr>
        <w:rFonts w:ascii="Arial" w:hAnsi="Arial" w:hint="default"/>
      </w:rPr>
    </w:lvl>
    <w:lvl w:ilvl="3" w:tplc="56F2DA16" w:tentative="1">
      <w:start w:val="1"/>
      <w:numFmt w:val="bullet"/>
      <w:lvlText w:val="•"/>
      <w:lvlJc w:val="left"/>
      <w:pPr>
        <w:tabs>
          <w:tab w:val="num" w:pos="2880"/>
        </w:tabs>
        <w:ind w:left="2880" w:hanging="360"/>
      </w:pPr>
      <w:rPr>
        <w:rFonts w:ascii="Arial" w:hAnsi="Arial" w:hint="default"/>
      </w:rPr>
    </w:lvl>
    <w:lvl w:ilvl="4" w:tplc="FB26860C" w:tentative="1">
      <w:start w:val="1"/>
      <w:numFmt w:val="bullet"/>
      <w:lvlText w:val="•"/>
      <w:lvlJc w:val="left"/>
      <w:pPr>
        <w:tabs>
          <w:tab w:val="num" w:pos="3600"/>
        </w:tabs>
        <w:ind w:left="3600" w:hanging="360"/>
      </w:pPr>
      <w:rPr>
        <w:rFonts w:ascii="Arial" w:hAnsi="Arial" w:hint="default"/>
      </w:rPr>
    </w:lvl>
    <w:lvl w:ilvl="5" w:tplc="1506D77A" w:tentative="1">
      <w:start w:val="1"/>
      <w:numFmt w:val="bullet"/>
      <w:lvlText w:val="•"/>
      <w:lvlJc w:val="left"/>
      <w:pPr>
        <w:tabs>
          <w:tab w:val="num" w:pos="4320"/>
        </w:tabs>
        <w:ind w:left="4320" w:hanging="360"/>
      </w:pPr>
      <w:rPr>
        <w:rFonts w:ascii="Arial" w:hAnsi="Arial" w:hint="default"/>
      </w:rPr>
    </w:lvl>
    <w:lvl w:ilvl="6" w:tplc="0D667AA2" w:tentative="1">
      <w:start w:val="1"/>
      <w:numFmt w:val="bullet"/>
      <w:lvlText w:val="•"/>
      <w:lvlJc w:val="left"/>
      <w:pPr>
        <w:tabs>
          <w:tab w:val="num" w:pos="5040"/>
        </w:tabs>
        <w:ind w:left="5040" w:hanging="360"/>
      </w:pPr>
      <w:rPr>
        <w:rFonts w:ascii="Arial" w:hAnsi="Arial" w:hint="default"/>
      </w:rPr>
    </w:lvl>
    <w:lvl w:ilvl="7" w:tplc="192858EE" w:tentative="1">
      <w:start w:val="1"/>
      <w:numFmt w:val="bullet"/>
      <w:lvlText w:val="•"/>
      <w:lvlJc w:val="left"/>
      <w:pPr>
        <w:tabs>
          <w:tab w:val="num" w:pos="5760"/>
        </w:tabs>
        <w:ind w:left="5760" w:hanging="360"/>
      </w:pPr>
      <w:rPr>
        <w:rFonts w:ascii="Arial" w:hAnsi="Arial" w:hint="default"/>
      </w:rPr>
    </w:lvl>
    <w:lvl w:ilvl="8" w:tplc="30080A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9C454B"/>
    <w:multiLevelType w:val="hybridMultilevel"/>
    <w:tmpl w:val="B4300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F33E6"/>
    <w:multiLevelType w:val="hybridMultilevel"/>
    <w:tmpl w:val="67964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9056D"/>
    <w:multiLevelType w:val="hybridMultilevel"/>
    <w:tmpl w:val="89168008"/>
    <w:lvl w:ilvl="0" w:tplc="3EE2E714">
      <w:start w:val="1"/>
      <w:numFmt w:val="bullet"/>
      <w:lvlText w:val="•"/>
      <w:lvlJc w:val="left"/>
      <w:pPr>
        <w:tabs>
          <w:tab w:val="num" w:pos="720"/>
        </w:tabs>
        <w:ind w:left="720" w:hanging="360"/>
      </w:pPr>
      <w:rPr>
        <w:rFonts w:ascii="Arial" w:hAnsi="Arial" w:hint="default"/>
      </w:rPr>
    </w:lvl>
    <w:lvl w:ilvl="1" w:tplc="7FB8293C" w:tentative="1">
      <w:start w:val="1"/>
      <w:numFmt w:val="bullet"/>
      <w:lvlText w:val="•"/>
      <w:lvlJc w:val="left"/>
      <w:pPr>
        <w:tabs>
          <w:tab w:val="num" w:pos="1440"/>
        </w:tabs>
        <w:ind w:left="1440" w:hanging="360"/>
      </w:pPr>
      <w:rPr>
        <w:rFonts w:ascii="Arial" w:hAnsi="Arial" w:hint="default"/>
      </w:rPr>
    </w:lvl>
    <w:lvl w:ilvl="2" w:tplc="4F7CB3F8" w:tentative="1">
      <w:start w:val="1"/>
      <w:numFmt w:val="bullet"/>
      <w:lvlText w:val="•"/>
      <w:lvlJc w:val="left"/>
      <w:pPr>
        <w:tabs>
          <w:tab w:val="num" w:pos="2160"/>
        </w:tabs>
        <w:ind w:left="2160" w:hanging="360"/>
      </w:pPr>
      <w:rPr>
        <w:rFonts w:ascii="Arial" w:hAnsi="Arial" w:hint="default"/>
      </w:rPr>
    </w:lvl>
    <w:lvl w:ilvl="3" w:tplc="C6EAAE26" w:tentative="1">
      <w:start w:val="1"/>
      <w:numFmt w:val="bullet"/>
      <w:lvlText w:val="•"/>
      <w:lvlJc w:val="left"/>
      <w:pPr>
        <w:tabs>
          <w:tab w:val="num" w:pos="2880"/>
        </w:tabs>
        <w:ind w:left="2880" w:hanging="360"/>
      </w:pPr>
      <w:rPr>
        <w:rFonts w:ascii="Arial" w:hAnsi="Arial" w:hint="default"/>
      </w:rPr>
    </w:lvl>
    <w:lvl w:ilvl="4" w:tplc="73DAFB72" w:tentative="1">
      <w:start w:val="1"/>
      <w:numFmt w:val="bullet"/>
      <w:lvlText w:val="•"/>
      <w:lvlJc w:val="left"/>
      <w:pPr>
        <w:tabs>
          <w:tab w:val="num" w:pos="3600"/>
        </w:tabs>
        <w:ind w:left="3600" w:hanging="360"/>
      </w:pPr>
      <w:rPr>
        <w:rFonts w:ascii="Arial" w:hAnsi="Arial" w:hint="default"/>
      </w:rPr>
    </w:lvl>
    <w:lvl w:ilvl="5" w:tplc="0F906324" w:tentative="1">
      <w:start w:val="1"/>
      <w:numFmt w:val="bullet"/>
      <w:lvlText w:val="•"/>
      <w:lvlJc w:val="left"/>
      <w:pPr>
        <w:tabs>
          <w:tab w:val="num" w:pos="4320"/>
        </w:tabs>
        <w:ind w:left="4320" w:hanging="360"/>
      </w:pPr>
      <w:rPr>
        <w:rFonts w:ascii="Arial" w:hAnsi="Arial" w:hint="default"/>
      </w:rPr>
    </w:lvl>
    <w:lvl w:ilvl="6" w:tplc="D376170C" w:tentative="1">
      <w:start w:val="1"/>
      <w:numFmt w:val="bullet"/>
      <w:lvlText w:val="•"/>
      <w:lvlJc w:val="left"/>
      <w:pPr>
        <w:tabs>
          <w:tab w:val="num" w:pos="5040"/>
        </w:tabs>
        <w:ind w:left="5040" w:hanging="360"/>
      </w:pPr>
      <w:rPr>
        <w:rFonts w:ascii="Arial" w:hAnsi="Arial" w:hint="default"/>
      </w:rPr>
    </w:lvl>
    <w:lvl w:ilvl="7" w:tplc="6C36F23A" w:tentative="1">
      <w:start w:val="1"/>
      <w:numFmt w:val="bullet"/>
      <w:lvlText w:val="•"/>
      <w:lvlJc w:val="left"/>
      <w:pPr>
        <w:tabs>
          <w:tab w:val="num" w:pos="5760"/>
        </w:tabs>
        <w:ind w:left="5760" w:hanging="360"/>
      </w:pPr>
      <w:rPr>
        <w:rFonts w:ascii="Arial" w:hAnsi="Arial" w:hint="default"/>
      </w:rPr>
    </w:lvl>
    <w:lvl w:ilvl="8" w:tplc="4100F6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432402"/>
    <w:multiLevelType w:val="hybridMultilevel"/>
    <w:tmpl w:val="47B8CAB2"/>
    <w:lvl w:ilvl="0" w:tplc="B37AF65A">
      <w:start w:val="1"/>
      <w:numFmt w:val="bullet"/>
      <w:lvlText w:val="•"/>
      <w:lvlJc w:val="left"/>
      <w:pPr>
        <w:tabs>
          <w:tab w:val="num" w:pos="720"/>
        </w:tabs>
        <w:ind w:left="720" w:hanging="360"/>
      </w:pPr>
      <w:rPr>
        <w:rFonts w:ascii="Arial" w:hAnsi="Arial" w:hint="default"/>
      </w:rPr>
    </w:lvl>
    <w:lvl w:ilvl="1" w:tplc="70225160" w:tentative="1">
      <w:start w:val="1"/>
      <w:numFmt w:val="bullet"/>
      <w:lvlText w:val="•"/>
      <w:lvlJc w:val="left"/>
      <w:pPr>
        <w:tabs>
          <w:tab w:val="num" w:pos="1440"/>
        </w:tabs>
        <w:ind w:left="1440" w:hanging="360"/>
      </w:pPr>
      <w:rPr>
        <w:rFonts w:ascii="Arial" w:hAnsi="Arial" w:hint="default"/>
      </w:rPr>
    </w:lvl>
    <w:lvl w:ilvl="2" w:tplc="26BA1672" w:tentative="1">
      <w:start w:val="1"/>
      <w:numFmt w:val="bullet"/>
      <w:lvlText w:val="•"/>
      <w:lvlJc w:val="left"/>
      <w:pPr>
        <w:tabs>
          <w:tab w:val="num" w:pos="2160"/>
        </w:tabs>
        <w:ind w:left="2160" w:hanging="360"/>
      </w:pPr>
      <w:rPr>
        <w:rFonts w:ascii="Arial" w:hAnsi="Arial" w:hint="default"/>
      </w:rPr>
    </w:lvl>
    <w:lvl w:ilvl="3" w:tplc="5AA4DA58" w:tentative="1">
      <w:start w:val="1"/>
      <w:numFmt w:val="bullet"/>
      <w:lvlText w:val="•"/>
      <w:lvlJc w:val="left"/>
      <w:pPr>
        <w:tabs>
          <w:tab w:val="num" w:pos="2880"/>
        </w:tabs>
        <w:ind w:left="2880" w:hanging="360"/>
      </w:pPr>
      <w:rPr>
        <w:rFonts w:ascii="Arial" w:hAnsi="Arial" w:hint="default"/>
      </w:rPr>
    </w:lvl>
    <w:lvl w:ilvl="4" w:tplc="E2FC639C" w:tentative="1">
      <w:start w:val="1"/>
      <w:numFmt w:val="bullet"/>
      <w:lvlText w:val="•"/>
      <w:lvlJc w:val="left"/>
      <w:pPr>
        <w:tabs>
          <w:tab w:val="num" w:pos="3600"/>
        </w:tabs>
        <w:ind w:left="3600" w:hanging="360"/>
      </w:pPr>
      <w:rPr>
        <w:rFonts w:ascii="Arial" w:hAnsi="Arial" w:hint="default"/>
      </w:rPr>
    </w:lvl>
    <w:lvl w:ilvl="5" w:tplc="D08E5E24" w:tentative="1">
      <w:start w:val="1"/>
      <w:numFmt w:val="bullet"/>
      <w:lvlText w:val="•"/>
      <w:lvlJc w:val="left"/>
      <w:pPr>
        <w:tabs>
          <w:tab w:val="num" w:pos="4320"/>
        </w:tabs>
        <w:ind w:left="4320" w:hanging="360"/>
      </w:pPr>
      <w:rPr>
        <w:rFonts w:ascii="Arial" w:hAnsi="Arial" w:hint="default"/>
      </w:rPr>
    </w:lvl>
    <w:lvl w:ilvl="6" w:tplc="0D84C7FE" w:tentative="1">
      <w:start w:val="1"/>
      <w:numFmt w:val="bullet"/>
      <w:lvlText w:val="•"/>
      <w:lvlJc w:val="left"/>
      <w:pPr>
        <w:tabs>
          <w:tab w:val="num" w:pos="5040"/>
        </w:tabs>
        <w:ind w:left="5040" w:hanging="360"/>
      </w:pPr>
      <w:rPr>
        <w:rFonts w:ascii="Arial" w:hAnsi="Arial" w:hint="default"/>
      </w:rPr>
    </w:lvl>
    <w:lvl w:ilvl="7" w:tplc="F3AE1BD2" w:tentative="1">
      <w:start w:val="1"/>
      <w:numFmt w:val="bullet"/>
      <w:lvlText w:val="•"/>
      <w:lvlJc w:val="left"/>
      <w:pPr>
        <w:tabs>
          <w:tab w:val="num" w:pos="5760"/>
        </w:tabs>
        <w:ind w:left="5760" w:hanging="360"/>
      </w:pPr>
      <w:rPr>
        <w:rFonts w:ascii="Arial" w:hAnsi="Arial" w:hint="default"/>
      </w:rPr>
    </w:lvl>
    <w:lvl w:ilvl="8" w:tplc="B8E003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D8"/>
    <w:rsid w:val="00105FD6"/>
    <w:rsid w:val="00152177"/>
    <w:rsid w:val="00277BD8"/>
    <w:rsid w:val="00474F41"/>
    <w:rsid w:val="00500F45"/>
    <w:rsid w:val="00563704"/>
    <w:rsid w:val="005C0A92"/>
    <w:rsid w:val="007430D5"/>
    <w:rsid w:val="00770920"/>
    <w:rsid w:val="007B22C5"/>
    <w:rsid w:val="008E0A4C"/>
    <w:rsid w:val="00906920"/>
    <w:rsid w:val="00920FED"/>
    <w:rsid w:val="00B22975"/>
    <w:rsid w:val="00FC0ADC"/>
    <w:rsid w:val="00FC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D1EF7"/>
  <w15:chartTrackingRefBased/>
  <w15:docId w15:val="{CD743357-A0E5-48E0-83F5-B7EB951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D8"/>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D8"/>
    <w:pPr>
      <w:ind w:left="720"/>
      <w:contextualSpacing/>
    </w:pPr>
  </w:style>
  <w:style w:type="paragraph" w:styleId="BalloonText">
    <w:name w:val="Balloon Text"/>
    <w:basedOn w:val="Normal"/>
    <w:link w:val="BalloonTextChar"/>
    <w:rsid w:val="0050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00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1621">
      <w:bodyDiv w:val="1"/>
      <w:marLeft w:val="0"/>
      <w:marRight w:val="0"/>
      <w:marTop w:val="0"/>
      <w:marBottom w:val="0"/>
      <w:divBdr>
        <w:top w:val="none" w:sz="0" w:space="0" w:color="auto"/>
        <w:left w:val="none" w:sz="0" w:space="0" w:color="auto"/>
        <w:bottom w:val="none" w:sz="0" w:space="0" w:color="auto"/>
        <w:right w:val="none" w:sz="0" w:space="0" w:color="auto"/>
      </w:divBdr>
      <w:divsChild>
        <w:div w:id="298069249">
          <w:marLeft w:val="720"/>
          <w:marRight w:val="0"/>
          <w:marTop w:val="130"/>
          <w:marBottom w:val="0"/>
          <w:divBdr>
            <w:top w:val="none" w:sz="0" w:space="0" w:color="auto"/>
            <w:left w:val="none" w:sz="0" w:space="0" w:color="auto"/>
            <w:bottom w:val="none" w:sz="0" w:space="0" w:color="auto"/>
            <w:right w:val="none" w:sz="0" w:space="0" w:color="auto"/>
          </w:divBdr>
        </w:div>
      </w:divsChild>
    </w:div>
    <w:div w:id="561477648">
      <w:bodyDiv w:val="1"/>
      <w:marLeft w:val="0"/>
      <w:marRight w:val="0"/>
      <w:marTop w:val="0"/>
      <w:marBottom w:val="0"/>
      <w:divBdr>
        <w:top w:val="none" w:sz="0" w:space="0" w:color="auto"/>
        <w:left w:val="none" w:sz="0" w:space="0" w:color="auto"/>
        <w:bottom w:val="none" w:sz="0" w:space="0" w:color="auto"/>
        <w:right w:val="none" w:sz="0" w:space="0" w:color="auto"/>
      </w:divBdr>
      <w:divsChild>
        <w:div w:id="914704573">
          <w:marLeft w:val="720"/>
          <w:marRight w:val="0"/>
          <w:marTop w:val="120"/>
          <w:marBottom w:val="0"/>
          <w:divBdr>
            <w:top w:val="none" w:sz="0" w:space="0" w:color="auto"/>
            <w:left w:val="none" w:sz="0" w:space="0" w:color="auto"/>
            <w:bottom w:val="none" w:sz="0" w:space="0" w:color="auto"/>
            <w:right w:val="none" w:sz="0" w:space="0" w:color="auto"/>
          </w:divBdr>
        </w:div>
      </w:divsChild>
    </w:div>
    <w:div w:id="1792438260">
      <w:bodyDiv w:val="1"/>
      <w:marLeft w:val="0"/>
      <w:marRight w:val="0"/>
      <w:marTop w:val="0"/>
      <w:marBottom w:val="0"/>
      <w:divBdr>
        <w:top w:val="none" w:sz="0" w:space="0" w:color="auto"/>
        <w:left w:val="none" w:sz="0" w:space="0" w:color="auto"/>
        <w:bottom w:val="none" w:sz="0" w:space="0" w:color="auto"/>
        <w:right w:val="none" w:sz="0" w:space="0" w:color="auto"/>
      </w:divBdr>
      <w:divsChild>
        <w:div w:id="2144152822">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3AA5C-F63A-4742-889D-D8087029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9D7625-DCC4-41A0-B801-8A081FE5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6D3809-F91F-439E-9D55-6F8531DDE967}">
  <ds:schemaRefs>
    <ds:schemaRef ds:uri="http://schemas.microsoft.com/sharepoint/v3/contenttype/forms"/>
  </ds:schemaRefs>
</ds:datastoreItem>
</file>

<file path=customXml/itemProps4.xml><?xml version="1.0" encoding="utf-8"?>
<ds:datastoreItem xmlns:ds="http://schemas.openxmlformats.org/officeDocument/2006/customXml" ds:itemID="{CFACCB31-DEAF-425D-A021-9F232BB6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Rydrych</dc:creator>
  <cp:keywords/>
  <dc:description/>
  <cp:lastModifiedBy>Schreier, Sandy</cp:lastModifiedBy>
  <cp:revision>3</cp:revision>
  <dcterms:created xsi:type="dcterms:W3CDTF">2015-11-06T15:34:00Z</dcterms:created>
  <dcterms:modified xsi:type="dcterms:W3CDTF">2015-11-06T15:35:00Z</dcterms:modified>
</cp:coreProperties>
</file>