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2A3E" w14:textId="7BC75B83" w:rsidR="001C3401" w:rsidRDefault="00377698" w:rsidP="00377973">
      <w:pPr>
        <w:pStyle w:val="Title"/>
        <w:spacing w:before="4000"/>
        <w:rPr>
          <w:rFonts w:asciiTheme="minorHAnsi" w:hAnsiTheme="minorHAnsi"/>
          <w:b/>
          <w:sz w:val="44"/>
        </w:rPr>
      </w:pPr>
      <w:bookmarkStart w:id="0" w:name="_GoBack"/>
      <w:bookmarkEnd w:id="0"/>
      <w:r w:rsidRPr="00F352E8">
        <w:rPr>
          <w:rFonts w:asciiTheme="minorHAnsi" w:hAnsiTheme="minorHAnsi"/>
          <w:b/>
          <w:sz w:val="44"/>
        </w:rPr>
        <w:t xml:space="preserve">Health Care Financing Task Force </w:t>
      </w:r>
      <w:r w:rsidR="001C3401">
        <w:rPr>
          <w:rFonts w:asciiTheme="minorHAnsi" w:hAnsiTheme="minorHAnsi"/>
          <w:b/>
          <w:sz w:val="44"/>
        </w:rPr>
        <w:t>Final Report—At-</w:t>
      </w:r>
      <w:r w:rsidR="008D1FD4">
        <w:rPr>
          <w:rFonts w:asciiTheme="minorHAnsi" w:hAnsiTheme="minorHAnsi"/>
          <w:b/>
          <w:sz w:val="44"/>
        </w:rPr>
        <w:t>a</w:t>
      </w:r>
      <w:r w:rsidR="001C3401">
        <w:rPr>
          <w:rFonts w:asciiTheme="minorHAnsi" w:hAnsiTheme="minorHAnsi"/>
          <w:b/>
          <w:sz w:val="44"/>
        </w:rPr>
        <w:t>-Glance Summary of Recommendations</w:t>
      </w:r>
    </w:p>
    <w:p w14:paraId="7D2A3E9E" w14:textId="115C93DD" w:rsidR="00377698" w:rsidRPr="00F352E8" w:rsidRDefault="00377698" w:rsidP="008D1FD4">
      <w:pPr>
        <w:pStyle w:val="Subtitle"/>
      </w:pPr>
      <w:r>
        <w:t xml:space="preserve">Submitted: </w:t>
      </w:r>
      <w:r w:rsidR="008D1FD4">
        <w:rPr>
          <w:color w:val="FF0000"/>
        </w:rPr>
        <w:t>1/21/2016</w:t>
      </w:r>
    </w:p>
    <w:p w14:paraId="58B122AA" w14:textId="77777777" w:rsidR="00377698" w:rsidRDefault="00377698" w:rsidP="002808F9">
      <w:pPr>
        <w:rPr>
          <w:b/>
          <w:i/>
        </w:rPr>
      </w:pPr>
    </w:p>
    <w:p w14:paraId="1E8BC9EC" w14:textId="77777777" w:rsidR="00377698" w:rsidRDefault="00377698" w:rsidP="002808F9">
      <w:pPr>
        <w:rPr>
          <w:b/>
          <w:i/>
        </w:rPr>
      </w:pPr>
    </w:p>
    <w:p w14:paraId="0DD3AB69" w14:textId="4362D5AE" w:rsidR="00377698" w:rsidRPr="008D1FD4" w:rsidRDefault="0062152B" w:rsidP="002808F9">
      <w:pPr>
        <w:rPr>
          <w:rStyle w:val="IntenseReference"/>
          <w:color w:val="auto"/>
        </w:rPr>
      </w:pPr>
      <w:r w:rsidRPr="008D1FD4">
        <w:rPr>
          <w:rStyle w:val="IntenseReference"/>
          <w:color w:val="auto"/>
        </w:rPr>
        <w:t>Prepared by Manatt Health</w:t>
      </w:r>
    </w:p>
    <w:p w14:paraId="0C638C6A" w14:textId="77777777" w:rsidR="00377698" w:rsidRPr="008D1FD4" w:rsidRDefault="00377698" w:rsidP="00377973">
      <w:pPr>
        <w:spacing w:before="4000"/>
        <w:rPr>
          <w:rStyle w:val="SubtleEmphasis"/>
        </w:rPr>
      </w:pPr>
      <w:r w:rsidRPr="008D1FD4">
        <w:rPr>
          <w:rStyle w:val="SubtleEmphasis"/>
        </w:rPr>
        <w:t>Health Care Financing Task Force Vision:  Sustainable, quality health care for all Minnesotans</w:t>
      </w:r>
    </w:p>
    <w:p w14:paraId="4C52F616" w14:textId="239D2143" w:rsidR="00377698" w:rsidRDefault="00842071" w:rsidP="008D1FD4">
      <w:pPr>
        <w:pStyle w:val="Heading1"/>
      </w:pPr>
      <w:r>
        <w:rPr>
          <w:i/>
        </w:rPr>
        <w:br w:type="page"/>
      </w:r>
      <w:bookmarkStart w:id="1" w:name="_Toc437610585"/>
      <w:bookmarkStart w:id="2" w:name="_Toc440445102"/>
      <w:r w:rsidR="00377698" w:rsidRPr="0006719C">
        <w:lastRenderedPageBreak/>
        <w:t>At-a-Glance Summary Chart of Recommendations</w:t>
      </w:r>
      <w:bookmarkEnd w:id="1"/>
      <w:r w:rsidR="001509D5">
        <w:t xml:space="preserve"> </w:t>
      </w:r>
      <w:bookmarkEnd w:id="2"/>
    </w:p>
    <w:p w14:paraId="5E11DFE7" w14:textId="3F9B2E56" w:rsidR="001C3401" w:rsidRDefault="008D1FD4" w:rsidP="008D1FD4">
      <w:pPr>
        <w:pStyle w:val="Heading2"/>
      </w:pPr>
      <w:r w:rsidRPr="003F576E">
        <w:t>RECOMMENDATION AREA</w:t>
      </w:r>
    </w:p>
    <w:p w14:paraId="3F115594" w14:textId="101D66C3" w:rsidR="008D1FD4" w:rsidRDefault="008D1FD4" w:rsidP="008D1FD4">
      <w:pPr>
        <w:pStyle w:val="Heading3"/>
        <w:rPr>
          <w:i w:val="0"/>
        </w:rPr>
      </w:pPr>
      <w:r w:rsidRPr="003F576E">
        <w:t>Removing Barriers to Access to Coverage and Care and Addressing Disparities</w:t>
      </w:r>
    </w:p>
    <w:p w14:paraId="594990AF" w14:textId="77777777" w:rsidR="008D1FD4" w:rsidRPr="0006719C" w:rsidRDefault="008D1FD4" w:rsidP="001C3401">
      <w:pPr>
        <w:spacing w:after="0"/>
        <w:rPr>
          <w:color w:val="FF0000"/>
        </w:rPr>
      </w:pPr>
    </w:p>
    <w:p w14:paraId="503E2C9B" w14:textId="77777777" w:rsidR="008D1FD4" w:rsidRDefault="008D1FD4" w:rsidP="0006719C">
      <w:pPr>
        <w:pStyle w:val="ListParagraph"/>
        <w:spacing w:after="0"/>
        <w:ind w:left="0"/>
      </w:pPr>
      <w:r w:rsidRPr="00A97DEA">
        <w:rPr>
          <w:b/>
        </w:rPr>
        <w:t>Recommendation 1</w:t>
      </w:r>
      <w:r>
        <w:t xml:space="preserve">: </w:t>
      </w:r>
      <w:r w:rsidRPr="00565306">
        <w:t>Improve and enhance community based consumer assistance resources, including Navigators, consumer assisters and agents/brokers:</w:t>
      </w:r>
    </w:p>
    <w:p w14:paraId="7C421670" w14:textId="77777777" w:rsidR="008D1FD4" w:rsidRDefault="008D1FD4" w:rsidP="00DF36FF">
      <w:pPr>
        <w:pStyle w:val="ListParagraph"/>
        <w:numPr>
          <w:ilvl w:val="0"/>
          <w:numId w:val="2"/>
        </w:numPr>
        <w:spacing w:after="0"/>
      </w:pPr>
      <w:r>
        <w:t>Develop expanded community based, consumer assistance capacity to support consumers in accessing health coverage, understanding how to use their health coverage, and addressing social determinants of health (e.g., food and nutrition, housing);</w:t>
      </w:r>
    </w:p>
    <w:p w14:paraId="0E63C89E" w14:textId="77777777" w:rsidR="008D1FD4" w:rsidRDefault="008D1FD4" w:rsidP="00DF36FF">
      <w:pPr>
        <w:pStyle w:val="ListParagraph"/>
        <w:numPr>
          <w:ilvl w:val="0"/>
          <w:numId w:val="2"/>
        </w:numPr>
        <w:spacing w:after="0"/>
      </w:pPr>
      <w:r>
        <w:t>Provide adequate and timely payment to, and appropriate training for, community based consumer assisters;</w:t>
      </w:r>
    </w:p>
    <w:p w14:paraId="251407AD" w14:textId="77777777" w:rsidR="008D1FD4" w:rsidRDefault="008D1FD4" w:rsidP="00DF36FF">
      <w:pPr>
        <w:pStyle w:val="ListParagraph"/>
        <w:numPr>
          <w:ilvl w:val="0"/>
          <w:numId w:val="2"/>
        </w:numPr>
        <w:spacing w:after="0"/>
      </w:pPr>
      <w:r>
        <w:t>Utilize currently available race/ethnicity/data to identify type and level of consumer needs and target deployment of consumer assistance resources; and</w:t>
      </w:r>
    </w:p>
    <w:p w14:paraId="0C774D1F" w14:textId="77777777" w:rsidR="008D1FD4" w:rsidRPr="00A97DEA" w:rsidRDefault="008D1FD4" w:rsidP="00DF36FF">
      <w:pPr>
        <w:pStyle w:val="ListParagraph"/>
        <w:numPr>
          <w:ilvl w:val="0"/>
          <w:numId w:val="2"/>
        </w:numPr>
        <w:spacing w:after="0"/>
      </w:pPr>
      <w:r>
        <w:t>Ensure that the State’s selection of Navigators prioritizes entities able to provide linguistically and culturally appropriate assistance and that new state-developed consumer assistance tools are culturally and linguistically appropriate.</w:t>
      </w:r>
    </w:p>
    <w:p w14:paraId="57D6467F" w14:textId="77777777" w:rsidR="008D1FD4" w:rsidRPr="003F576E" w:rsidRDefault="008D1FD4" w:rsidP="0006719C">
      <w:pPr>
        <w:pStyle w:val="ListParagraph"/>
        <w:spacing w:after="0"/>
        <w:ind w:left="0"/>
        <w:rPr>
          <w:b/>
          <w:i/>
        </w:rPr>
      </w:pPr>
    </w:p>
    <w:p w14:paraId="525B64BB" w14:textId="77777777" w:rsidR="008D1FD4" w:rsidRDefault="008D1FD4" w:rsidP="0006719C">
      <w:pPr>
        <w:pStyle w:val="ListParagraph"/>
        <w:spacing w:after="0"/>
        <w:ind w:left="0"/>
      </w:pPr>
      <w:r w:rsidRPr="00A97DEA">
        <w:rPr>
          <w:b/>
        </w:rPr>
        <w:t xml:space="preserve">Recommendation 2: </w:t>
      </w:r>
      <w:r w:rsidRPr="00565306">
        <w:t>Create benefit alignment across the coverage continuum and provide access to high value benefits:</w:t>
      </w:r>
    </w:p>
    <w:p w14:paraId="173437AC" w14:textId="77777777" w:rsidR="008D1FD4" w:rsidRPr="00A97DEA" w:rsidRDefault="008D1FD4" w:rsidP="0006719C">
      <w:pPr>
        <w:pStyle w:val="ListParagraph"/>
        <w:spacing w:after="0"/>
        <w:ind w:left="0"/>
        <w:rPr>
          <w:b/>
          <w:i/>
        </w:rPr>
      </w:pPr>
      <w:r w:rsidRPr="00A97DEA">
        <w:rPr>
          <w:b/>
          <w:i/>
        </w:rPr>
        <w:t>Transportation</w:t>
      </w:r>
    </w:p>
    <w:p w14:paraId="49487DE0" w14:textId="77777777" w:rsidR="008D1FD4" w:rsidRDefault="008D1FD4" w:rsidP="00DF36FF">
      <w:pPr>
        <w:pStyle w:val="ListParagraph"/>
        <w:numPr>
          <w:ilvl w:val="0"/>
          <w:numId w:val="3"/>
        </w:numPr>
        <w:spacing w:after="0"/>
      </w:pPr>
      <w:r>
        <w:t>Provide non-emergency medical transportation (NEMT) as a covered benefit in MinnesotaCare.</w:t>
      </w:r>
    </w:p>
    <w:p w14:paraId="7D11E3A5" w14:textId="77777777" w:rsidR="008D1FD4" w:rsidRDefault="008D1FD4" w:rsidP="00DF36FF">
      <w:pPr>
        <w:pStyle w:val="ListParagraph"/>
        <w:numPr>
          <w:ilvl w:val="0"/>
          <w:numId w:val="3"/>
        </w:numPr>
        <w:spacing w:after="0"/>
      </w:pPr>
      <w:r>
        <w:t>Build volunteer transportation provider capacity through a grant program.</w:t>
      </w:r>
    </w:p>
    <w:p w14:paraId="32573903" w14:textId="77777777" w:rsidR="008D1FD4" w:rsidRDefault="008D1FD4" w:rsidP="00DF36FF">
      <w:pPr>
        <w:pStyle w:val="ListParagraph"/>
        <w:numPr>
          <w:ilvl w:val="0"/>
          <w:numId w:val="3"/>
        </w:numPr>
        <w:spacing w:after="0"/>
      </w:pPr>
      <w:r>
        <w:t>Assess the impact of enacted NEMT legislation on improving access to care and provider capacity.</w:t>
      </w:r>
    </w:p>
    <w:p w14:paraId="5732FC88" w14:textId="77777777" w:rsidR="008D1FD4" w:rsidRPr="00A97DEA" w:rsidRDefault="008D1FD4" w:rsidP="0006719C">
      <w:pPr>
        <w:spacing w:after="0"/>
        <w:rPr>
          <w:b/>
          <w:i/>
        </w:rPr>
      </w:pPr>
      <w:r w:rsidRPr="00A97DEA">
        <w:rPr>
          <w:b/>
          <w:i/>
        </w:rPr>
        <w:t>Dental</w:t>
      </w:r>
    </w:p>
    <w:p w14:paraId="5A0EE271" w14:textId="77777777" w:rsidR="008D1FD4" w:rsidRDefault="008D1FD4" w:rsidP="00DF36FF">
      <w:pPr>
        <w:pStyle w:val="ListParagraph"/>
        <w:numPr>
          <w:ilvl w:val="0"/>
          <w:numId w:val="3"/>
        </w:numPr>
        <w:spacing w:after="0"/>
      </w:pPr>
      <w:r>
        <w:t>Require that QHP issuers make available dental benefits on par with coverage in Medical Assistance and MinnesotaCare.</w:t>
      </w:r>
    </w:p>
    <w:p w14:paraId="0811FE9E" w14:textId="77777777" w:rsidR="008D1FD4" w:rsidRDefault="008D1FD4" w:rsidP="00DF36FF">
      <w:pPr>
        <w:pStyle w:val="ListParagraph"/>
        <w:numPr>
          <w:ilvl w:val="0"/>
          <w:numId w:val="3"/>
        </w:numPr>
        <w:spacing w:after="0"/>
      </w:pPr>
      <w:r>
        <w:t>Seek 1332 waiver to allow QHP enrollees to apply Advance Premium Tax Credits/ Cost Sharing Reductions to available dental coverage.</w:t>
      </w:r>
    </w:p>
    <w:p w14:paraId="3561A6A6" w14:textId="77777777" w:rsidR="008D1FD4" w:rsidRPr="00A97DEA" w:rsidRDefault="008D1FD4" w:rsidP="00DF36FF">
      <w:pPr>
        <w:pStyle w:val="ListParagraph"/>
        <w:numPr>
          <w:ilvl w:val="0"/>
          <w:numId w:val="3"/>
        </w:numPr>
        <w:spacing w:after="0"/>
      </w:pPr>
      <w:r>
        <w:t>Raise Medical Assistance dental reimbursement rates.</w:t>
      </w:r>
    </w:p>
    <w:p w14:paraId="7E43116E" w14:textId="77777777" w:rsidR="008D1FD4" w:rsidRPr="003F576E" w:rsidRDefault="008D1FD4" w:rsidP="0006719C">
      <w:pPr>
        <w:pStyle w:val="ListParagraph"/>
        <w:spacing w:after="0"/>
        <w:ind w:left="0"/>
        <w:rPr>
          <w:b/>
          <w:i/>
        </w:rPr>
      </w:pPr>
    </w:p>
    <w:p w14:paraId="6E00B513" w14:textId="77777777" w:rsidR="008D1FD4" w:rsidRPr="00565306" w:rsidRDefault="008D1FD4" w:rsidP="0006719C">
      <w:pPr>
        <w:spacing w:after="0"/>
        <w:rPr>
          <w:b/>
        </w:rPr>
      </w:pPr>
      <w:r w:rsidRPr="00565306">
        <w:rPr>
          <w:b/>
        </w:rPr>
        <w:t xml:space="preserve">Recommendation 3: </w:t>
      </w:r>
      <w:r w:rsidRPr="00565306">
        <w:t>Evaluate the impact of 2015 telemedicine (health) legislation on payment for and access to broad based telehealth/telemedicine (including mobile applications) services and effectiveness in addressing geographic barriers and health disparities.</w:t>
      </w:r>
    </w:p>
    <w:p w14:paraId="2C2F8D85" w14:textId="77777777" w:rsidR="008D1FD4" w:rsidRPr="003F576E" w:rsidRDefault="008D1FD4" w:rsidP="0006719C">
      <w:pPr>
        <w:pStyle w:val="ListParagraph"/>
        <w:spacing w:after="0"/>
        <w:ind w:left="0"/>
        <w:rPr>
          <w:b/>
          <w:i/>
        </w:rPr>
      </w:pPr>
    </w:p>
    <w:p w14:paraId="3754E548" w14:textId="77777777" w:rsidR="008D1FD4" w:rsidRPr="00565306" w:rsidRDefault="008D1FD4" w:rsidP="0006719C">
      <w:pPr>
        <w:spacing w:after="0"/>
      </w:pPr>
      <w:r w:rsidRPr="00565306">
        <w:rPr>
          <w:b/>
        </w:rPr>
        <w:t xml:space="preserve">Recommendation 4: </w:t>
      </w:r>
      <w:r w:rsidRPr="00133200">
        <w:t>I</w:t>
      </w:r>
      <w:r w:rsidRPr="00565306">
        <w:t>mprove demographic data collection and reporting to inform development of solutions to address disparities in health access and care:</w:t>
      </w:r>
    </w:p>
    <w:p w14:paraId="4EECDD50" w14:textId="77777777" w:rsidR="008D1FD4" w:rsidRPr="00565306" w:rsidRDefault="008D1FD4" w:rsidP="00DF36FF">
      <w:pPr>
        <w:pStyle w:val="ListParagraph"/>
        <w:numPr>
          <w:ilvl w:val="0"/>
          <w:numId w:val="3"/>
        </w:numPr>
        <w:spacing w:after="0"/>
      </w:pPr>
      <w:r w:rsidRPr="00565306">
        <w:t>Ensure that all Minnesota health data collection and reporting systems including state agencies, providers, payers, and systems that collect health data comply with the State Quality Reporting and Measurement System’s (SQRMS</w:t>
      </w:r>
      <w:r>
        <w:t>’</w:t>
      </w:r>
      <w:r w:rsidRPr="00565306">
        <w:t>) standardized best practices (i.e., allowing patients to identify themselves, allowing a multi-racial category) for collection and reporting of race, ethnicity, language and country of origin data and data elements.</w:t>
      </w:r>
    </w:p>
    <w:p w14:paraId="6FF31DF3" w14:textId="77777777" w:rsidR="008D1FD4" w:rsidRPr="00565306" w:rsidRDefault="008D1FD4" w:rsidP="00DF36FF">
      <w:pPr>
        <w:pStyle w:val="ListParagraph"/>
        <w:numPr>
          <w:ilvl w:val="0"/>
          <w:numId w:val="3"/>
        </w:numPr>
        <w:spacing w:after="0"/>
      </w:pPr>
      <w:r w:rsidRPr="00565306">
        <w:t>Charge MDH with development of a standardized set of additional socio-economic measures affecting health and health disparities.</w:t>
      </w:r>
    </w:p>
    <w:p w14:paraId="5CD0F5F3" w14:textId="77777777" w:rsidR="008D1FD4" w:rsidRPr="00565306" w:rsidRDefault="008D1FD4" w:rsidP="00DF36FF">
      <w:pPr>
        <w:pStyle w:val="ListParagraph"/>
        <w:numPr>
          <w:ilvl w:val="0"/>
          <w:numId w:val="3"/>
        </w:numPr>
        <w:spacing w:after="0"/>
      </w:pPr>
      <w:r w:rsidRPr="00565306">
        <w:t>Develop mechanism for continuous improvement of health data collection and reporting in partnership with racial and ethnic communities disproportionately affected by disparities.</w:t>
      </w:r>
    </w:p>
    <w:p w14:paraId="57786316" w14:textId="77777777" w:rsidR="008D1FD4" w:rsidRPr="003F576E" w:rsidRDefault="008D1FD4" w:rsidP="0006719C">
      <w:pPr>
        <w:pStyle w:val="ListParagraph"/>
        <w:spacing w:after="0"/>
        <w:ind w:left="0"/>
        <w:rPr>
          <w:b/>
          <w:i/>
        </w:rPr>
      </w:pPr>
    </w:p>
    <w:p w14:paraId="407E2DD7" w14:textId="77777777" w:rsidR="008D1FD4" w:rsidRPr="0006719C" w:rsidRDefault="008D1FD4" w:rsidP="0006719C">
      <w:pPr>
        <w:spacing w:after="0"/>
      </w:pPr>
      <w:r w:rsidRPr="0006719C">
        <w:rPr>
          <w:b/>
        </w:rPr>
        <w:lastRenderedPageBreak/>
        <w:t xml:space="preserve">Recommendation 5: </w:t>
      </w:r>
      <w:r w:rsidRPr="0006719C">
        <w:t>Provide access to coverage for uninsured, low-income individuals ineligible for Medical Assistance, MinnesotaCare and QHPs through MNsure due to immigration status by using State funding to provide MinnesotaCare benefits to children and adults with incomes up to 200% FPL.</w:t>
      </w:r>
    </w:p>
    <w:p w14:paraId="43B16BB2" w14:textId="77777777" w:rsidR="008D1FD4" w:rsidRPr="0006719C" w:rsidRDefault="008D1FD4" w:rsidP="0006719C">
      <w:pPr>
        <w:spacing w:after="0"/>
      </w:pPr>
    </w:p>
    <w:p w14:paraId="087D564C" w14:textId="77777777" w:rsidR="008D1FD4" w:rsidRPr="0006719C" w:rsidRDefault="008D1FD4" w:rsidP="0006719C">
      <w:pPr>
        <w:pStyle w:val="ListParagraph"/>
        <w:spacing w:after="0"/>
        <w:ind w:left="0"/>
      </w:pPr>
      <w:r w:rsidRPr="0006719C">
        <w:t>Provide coverage for services included in the elderly waiver package and nursing facility benefits to individuals under 138% FPL who are eligible for these benefits.</w:t>
      </w:r>
    </w:p>
    <w:p w14:paraId="4B6451CA" w14:textId="77777777" w:rsidR="008D1FD4" w:rsidRPr="0006719C" w:rsidRDefault="008D1FD4" w:rsidP="0006719C">
      <w:pPr>
        <w:pStyle w:val="ListParagraph"/>
        <w:spacing w:after="0"/>
        <w:ind w:left="0"/>
      </w:pPr>
    </w:p>
    <w:p w14:paraId="62A2845A" w14:textId="77777777" w:rsidR="008D1FD4" w:rsidRPr="00A90527" w:rsidRDefault="008D1FD4" w:rsidP="0006719C">
      <w:pPr>
        <w:pStyle w:val="ListParagraph"/>
        <w:spacing w:after="0"/>
        <w:ind w:left="0"/>
      </w:pPr>
      <w:r w:rsidRPr="0006719C">
        <w:t xml:space="preserve">In all instances, maintain confidentiality of applicants to ensure information collected is only used for health coverage and maximize available federal funding (i.e., federal funding for EMA and coverage of lawfully present MinnesotaCare individuals 0 – </w:t>
      </w:r>
      <w:r>
        <w:t>200</w:t>
      </w:r>
      <w:r w:rsidRPr="0006719C">
        <w:t>% FPL).</w:t>
      </w:r>
    </w:p>
    <w:p w14:paraId="0FBC65F6" w14:textId="77777777" w:rsidR="008D1FD4" w:rsidRPr="003F576E" w:rsidRDefault="008D1FD4" w:rsidP="0006719C">
      <w:pPr>
        <w:pStyle w:val="ListParagraph"/>
        <w:spacing w:after="0"/>
        <w:ind w:left="0"/>
        <w:rPr>
          <w:b/>
          <w:i/>
        </w:rPr>
      </w:pPr>
    </w:p>
    <w:p w14:paraId="49A04C1C" w14:textId="77777777" w:rsidR="008D1FD4" w:rsidRPr="0062116F" w:rsidRDefault="008D1FD4" w:rsidP="0006719C">
      <w:pPr>
        <w:spacing w:after="0"/>
        <w:rPr>
          <w:rStyle w:val="SubtleEmphasis"/>
          <w:b/>
          <w:i w:val="0"/>
          <w:color w:val="auto"/>
          <w:sz w:val="22"/>
          <w:szCs w:val="22"/>
        </w:rPr>
      </w:pPr>
      <w:r w:rsidRPr="0062116F">
        <w:rPr>
          <w:rStyle w:val="SubtleEmphasis"/>
          <w:b/>
          <w:i w:val="0"/>
          <w:color w:val="auto"/>
          <w:sz w:val="22"/>
          <w:szCs w:val="22"/>
        </w:rPr>
        <w:t xml:space="preserve">Recommendation 6: </w:t>
      </w:r>
      <w:r w:rsidRPr="0062116F">
        <w:rPr>
          <w:rStyle w:val="SubtleEmphasis"/>
          <w:i w:val="0"/>
          <w:color w:val="auto"/>
          <w:sz w:val="22"/>
          <w:szCs w:val="22"/>
        </w:rPr>
        <w:t>Rationalize affordability definition for families with access to employer sponsored insurance (ESI) (i.e., fix the “family glitch”), provided, however, that there is no impact on employer tax penalty related to affordability of coverage for dependents.</w:t>
      </w:r>
    </w:p>
    <w:p w14:paraId="25949B6D" w14:textId="77777777" w:rsidR="008D1FD4" w:rsidRPr="003F576E" w:rsidRDefault="008D1FD4" w:rsidP="0006719C">
      <w:pPr>
        <w:pStyle w:val="ListParagraph"/>
        <w:spacing w:after="0"/>
        <w:ind w:left="0"/>
        <w:rPr>
          <w:b/>
          <w:i/>
        </w:rPr>
      </w:pPr>
    </w:p>
    <w:p w14:paraId="511B627D" w14:textId="77777777" w:rsidR="008D1FD4" w:rsidRPr="0062116F" w:rsidRDefault="008D1FD4" w:rsidP="0006719C">
      <w:pPr>
        <w:spacing w:after="0"/>
        <w:rPr>
          <w:rStyle w:val="SubtleEmphasis"/>
          <w:b/>
          <w:i w:val="0"/>
          <w:color w:val="auto"/>
          <w:sz w:val="22"/>
          <w:szCs w:val="22"/>
        </w:rPr>
      </w:pPr>
      <w:r w:rsidRPr="0062116F">
        <w:rPr>
          <w:rStyle w:val="SubtleEmphasis"/>
          <w:b/>
          <w:i w:val="0"/>
          <w:color w:val="auto"/>
          <w:sz w:val="22"/>
          <w:szCs w:val="22"/>
        </w:rPr>
        <w:t xml:space="preserve">Recommendation 7: </w:t>
      </w:r>
      <w:r w:rsidRPr="0062116F">
        <w:rPr>
          <w:rStyle w:val="SubtleEmphasis"/>
          <w:i w:val="0"/>
          <w:color w:val="auto"/>
          <w:sz w:val="22"/>
          <w:szCs w:val="22"/>
        </w:rPr>
        <w:t>Adopt 12 month continuous eligibility for Medical Assistance &amp; MinnesotaCare enrollees.</w:t>
      </w:r>
      <w:r>
        <w:rPr>
          <w:rStyle w:val="SubtleEmphasis"/>
          <w:i w:val="0"/>
          <w:color w:val="auto"/>
          <w:sz w:val="22"/>
          <w:szCs w:val="22"/>
        </w:rPr>
        <w:t xml:space="preserve"> (This only applies to Medical Assistance enrollees eligible under a MAGI-income basis.)</w:t>
      </w:r>
    </w:p>
    <w:p w14:paraId="3771C4BE" w14:textId="77777777" w:rsidR="008D1FD4" w:rsidRDefault="008D1FD4" w:rsidP="008D1FD4">
      <w:pPr>
        <w:spacing w:after="0"/>
        <w:rPr>
          <w:b/>
          <w:szCs w:val="22"/>
        </w:rPr>
      </w:pPr>
    </w:p>
    <w:p w14:paraId="2297DFCF" w14:textId="77777777" w:rsidR="008D1FD4" w:rsidRDefault="008D1FD4" w:rsidP="008D1FD4">
      <w:pPr>
        <w:pStyle w:val="Heading2"/>
      </w:pPr>
      <w:r w:rsidRPr="003F576E">
        <w:t>RECOMMENDATION AREA</w:t>
      </w:r>
    </w:p>
    <w:p w14:paraId="229E309A" w14:textId="77777777" w:rsidR="008D1FD4" w:rsidRDefault="008D1FD4" w:rsidP="008D1FD4">
      <w:pPr>
        <w:pStyle w:val="Heading3"/>
      </w:pPr>
      <w:r w:rsidRPr="003F576E">
        <w:t>Improving Affordability of Coverage and Care for Consumers</w:t>
      </w:r>
    </w:p>
    <w:p w14:paraId="22957DE0" w14:textId="77777777" w:rsidR="008D1FD4" w:rsidRPr="003F576E" w:rsidRDefault="008D1FD4" w:rsidP="0006719C">
      <w:pPr>
        <w:pStyle w:val="ListParagraph"/>
        <w:spacing w:after="0"/>
        <w:ind w:left="0"/>
        <w:rPr>
          <w:b/>
          <w:i/>
        </w:rPr>
      </w:pPr>
    </w:p>
    <w:p w14:paraId="29BB3998" w14:textId="77777777" w:rsidR="008D1FD4" w:rsidRPr="0062116F" w:rsidRDefault="008D1FD4" w:rsidP="0006719C">
      <w:pPr>
        <w:spacing w:after="0"/>
        <w:rPr>
          <w:rStyle w:val="SubtleEmphasis"/>
          <w:i w:val="0"/>
          <w:color w:val="auto"/>
          <w:sz w:val="22"/>
          <w:szCs w:val="22"/>
        </w:rPr>
      </w:pPr>
      <w:r w:rsidRPr="0062116F">
        <w:rPr>
          <w:rStyle w:val="SubtleEmphasis"/>
          <w:b/>
          <w:i w:val="0"/>
          <w:color w:val="auto"/>
          <w:sz w:val="22"/>
          <w:szCs w:val="22"/>
        </w:rPr>
        <w:t xml:space="preserve">Recommendation 8: </w:t>
      </w:r>
      <w:r w:rsidRPr="0062116F">
        <w:rPr>
          <w:rStyle w:val="SubtleEmphasis"/>
          <w:i w:val="0"/>
          <w:color w:val="auto"/>
          <w:sz w:val="22"/>
          <w:szCs w:val="22"/>
        </w:rPr>
        <w:t xml:space="preserve">Require standard Qualified Health Plan offerings in the Marketplace to improve consumer choice and experience and ensure availability of no- or low-deductible options. Look to federal standardized designs as a potential model. </w:t>
      </w:r>
    </w:p>
    <w:p w14:paraId="0E9D5829" w14:textId="77777777" w:rsidR="008D1FD4" w:rsidRPr="0062116F" w:rsidRDefault="008D1FD4" w:rsidP="00DF36FF">
      <w:pPr>
        <w:pStyle w:val="ListParagraph"/>
        <w:numPr>
          <w:ilvl w:val="0"/>
          <w:numId w:val="30"/>
        </w:numPr>
        <w:spacing w:after="0"/>
        <w:ind w:left="360"/>
        <w:rPr>
          <w:szCs w:val="22"/>
        </w:rPr>
      </w:pPr>
      <w:r w:rsidRPr="0062116F">
        <w:rPr>
          <w:szCs w:val="22"/>
        </w:rPr>
        <w:t>Require carriers to offer low and no deductible plan options, in addition to other products they choose to offer.</w:t>
      </w:r>
    </w:p>
    <w:p w14:paraId="454BCB80" w14:textId="77777777" w:rsidR="008D1FD4" w:rsidRPr="0062116F" w:rsidRDefault="008D1FD4" w:rsidP="00DF36FF">
      <w:pPr>
        <w:pStyle w:val="ListParagraph"/>
        <w:numPr>
          <w:ilvl w:val="0"/>
          <w:numId w:val="30"/>
        </w:numPr>
        <w:spacing w:after="0"/>
        <w:ind w:left="360"/>
        <w:rPr>
          <w:szCs w:val="22"/>
        </w:rPr>
      </w:pPr>
      <w:r w:rsidRPr="0062116F">
        <w:rPr>
          <w:szCs w:val="22"/>
        </w:rPr>
        <w:t>Require carriers to offer standard plan designs that exempt certain services from deductibles to incentivize utilization of primary care and other high value preventive services.</w:t>
      </w:r>
    </w:p>
    <w:p w14:paraId="07CAC698" w14:textId="77777777" w:rsidR="008D1FD4" w:rsidRPr="0062116F" w:rsidRDefault="008D1FD4" w:rsidP="00632EB3">
      <w:pPr>
        <w:pStyle w:val="ListParagraph"/>
        <w:numPr>
          <w:ilvl w:val="0"/>
          <w:numId w:val="30"/>
        </w:numPr>
        <w:spacing w:after="0"/>
        <w:ind w:left="360"/>
        <w:rPr>
          <w:szCs w:val="22"/>
        </w:rPr>
      </w:pPr>
      <w:r w:rsidRPr="0062116F">
        <w:rPr>
          <w:szCs w:val="22"/>
        </w:rPr>
        <w:t>Study option of 1332 waiver to allow for 60 to 100% actuarial value and how this will improve consumer choice.</w:t>
      </w:r>
    </w:p>
    <w:p w14:paraId="09316793" w14:textId="77777777" w:rsidR="008D1FD4" w:rsidRPr="003F576E" w:rsidRDefault="008D1FD4" w:rsidP="0006719C">
      <w:pPr>
        <w:pStyle w:val="ListParagraph"/>
        <w:spacing w:after="0"/>
        <w:ind w:left="0"/>
        <w:rPr>
          <w:b/>
          <w:i/>
        </w:rPr>
      </w:pPr>
    </w:p>
    <w:p w14:paraId="475F2847" w14:textId="77777777" w:rsidR="008D1FD4" w:rsidRPr="00444171" w:rsidRDefault="008D1FD4" w:rsidP="0006719C">
      <w:pPr>
        <w:spacing w:after="0"/>
        <w:rPr>
          <w:rStyle w:val="SubtleEmphasis"/>
          <w:b/>
          <w:i w:val="0"/>
          <w:szCs w:val="22"/>
        </w:rPr>
      </w:pPr>
      <w:r>
        <w:rPr>
          <w:b/>
          <w:szCs w:val="22"/>
        </w:rPr>
        <w:t xml:space="preserve">Recommendation 9: </w:t>
      </w:r>
      <w:r w:rsidRPr="00726CAE">
        <w:rPr>
          <w:szCs w:val="22"/>
        </w:rPr>
        <w:t>Improve affordability and reduce the cliff in premiums, cost-sharing and deductibles for health coverage at 200% FPL in Minnesota’s coverage continuum by establishing a Minnesota-tailored health coverage affordability scale and provide enhanced subsidie</w:t>
      </w:r>
      <w:r>
        <w:rPr>
          <w:szCs w:val="22"/>
        </w:rPr>
        <w:t xml:space="preserve">s to consumers with incomes 200 to </w:t>
      </w:r>
      <w:r w:rsidRPr="00726CAE">
        <w:rPr>
          <w:szCs w:val="22"/>
        </w:rPr>
        <w:t>275% FPL (pre-ACA MinnesotaCare eligibility levels).</w:t>
      </w:r>
    </w:p>
    <w:p w14:paraId="2898F646" w14:textId="77777777" w:rsidR="008D1FD4" w:rsidRPr="003F576E" w:rsidRDefault="008D1FD4" w:rsidP="0006719C">
      <w:pPr>
        <w:pStyle w:val="ListParagraph"/>
        <w:spacing w:after="0"/>
        <w:ind w:left="0"/>
        <w:rPr>
          <w:b/>
          <w:i/>
        </w:rPr>
      </w:pPr>
    </w:p>
    <w:p w14:paraId="0F2CA40A" w14:textId="77777777" w:rsidR="008D1FD4" w:rsidRPr="00444171" w:rsidRDefault="008D1FD4" w:rsidP="0006719C">
      <w:pPr>
        <w:spacing w:after="0"/>
        <w:rPr>
          <w:rStyle w:val="SubtleEmphasis"/>
          <w:b/>
          <w:i w:val="0"/>
          <w:szCs w:val="22"/>
        </w:rPr>
      </w:pPr>
      <w:r>
        <w:rPr>
          <w:b/>
          <w:szCs w:val="22"/>
        </w:rPr>
        <w:t xml:space="preserve">Recommendation 10: </w:t>
      </w:r>
      <w:r w:rsidRPr="00726CAE">
        <w:rPr>
          <w:szCs w:val="22"/>
        </w:rPr>
        <w:t xml:space="preserve">Expand MinnesotaCare up to 275% FPL, using the recommended affordability scale under </w:t>
      </w:r>
      <w:r>
        <w:rPr>
          <w:szCs w:val="22"/>
        </w:rPr>
        <w:t>R</w:t>
      </w:r>
      <w:r w:rsidRPr="00726CAE">
        <w:rPr>
          <w:szCs w:val="22"/>
        </w:rPr>
        <w:t xml:space="preserve">ecommendation </w:t>
      </w:r>
      <w:r>
        <w:rPr>
          <w:szCs w:val="22"/>
        </w:rPr>
        <w:t>9</w:t>
      </w:r>
      <w:r w:rsidRPr="00726CAE">
        <w:rPr>
          <w:szCs w:val="22"/>
        </w:rPr>
        <w:t xml:space="preserve"> for those between 200 and 275% FPL, and maintain Marketplace coverage for consumers &gt;275% FPL.</w:t>
      </w:r>
    </w:p>
    <w:p w14:paraId="20ADF684" w14:textId="77777777" w:rsidR="008D1FD4" w:rsidRDefault="008D1FD4" w:rsidP="0006719C">
      <w:pPr>
        <w:pStyle w:val="ListParagraph"/>
        <w:spacing w:after="0"/>
        <w:ind w:left="0"/>
        <w:rPr>
          <w:b/>
          <w:i/>
        </w:rPr>
      </w:pPr>
    </w:p>
    <w:p w14:paraId="4CD6ED96" w14:textId="77777777" w:rsidR="008D1FD4" w:rsidRDefault="008D1FD4" w:rsidP="008D1FD4">
      <w:pPr>
        <w:pStyle w:val="Heading2"/>
      </w:pPr>
      <w:r w:rsidRPr="003F576E">
        <w:t>RECOMMENDATION AREA</w:t>
      </w:r>
    </w:p>
    <w:p w14:paraId="3E9DC77C" w14:textId="77777777" w:rsidR="008D1FD4" w:rsidRPr="003F576E" w:rsidRDefault="008D1FD4" w:rsidP="008D1FD4">
      <w:pPr>
        <w:pStyle w:val="Heading3"/>
      </w:pPr>
      <w:r w:rsidRPr="003F576E">
        <w:t>Sustainably Financing the Coverage Continuum</w:t>
      </w:r>
    </w:p>
    <w:p w14:paraId="6C655FD7" w14:textId="77777777" w:rsidR="008D1FD4" w:rsidRDefault="008D1FD4" w:rsidP="00632EB3">
      <w:pPr>
        <w:spacing w:after="0"/>
        <w:rPr>
          <w:b/>
          <w:szCs w:val="22"/>
        </w:rPr>
      </w:pPr>
    </w:p>
    <w:p w14:paraId="45FAAE32" w14:textId="77777777" w:rsidR="008D1FD4" w:rsidRPr="00F01F4D" w:rsidRDefault="008D1FD4" w:rsidP="00632EB3">
      <w:pPr>
        <w:spacing w:after="0"/>
        <w:rPr>
          <w:b/>
          <w:szCs w:val="22"/>
        </w:rPr>
      </w:pPr>
      <w:r>
        <w:rPr>
          <w:b/>
          <w:szCs w:val="22"/>
        </w:rPr>
        <w:t>Recommendation 11:</w:t>
      </w:r>
      <w:r w:rsidRPr="00506852">
        <w:rPr>
          <w:b/>
          <w:szCs w:val="22"/>
        </w:rPr>
        <w:t xml:space="preserve"> </w:t>
      </w:r>
      <w:r w:rsidRPr="00506852">
        <w:rPr>
          <w:szCs w:val="22"/>
        </w:rPr>
        <w:t xml:space="preserve">Seek Medicaid match to provide additional federal funding for enhanced subsidies to the </w:t>
      </w:r>
      <w:r>
        <w:rPr>
          <w:szCs w:val="22"/>
        </w:rPr>
        <w:t xml:space="preserve">MinnesotaCare </w:t>
      </w:r>
      <w:r w:rsidRPr="00506852">
        <w:rPr>
          <w:szCs w:val="22"/>
        </w:rPr>
        <w:t xml:space="preserve">population with incomes from 138 </w:t>
      </w:r>
      <w:r>
        <w:rPr>
          <w:szCs w:val="22"/>
        </w:rPr>
        <w:t>to</w:t>
      </w:r>
      <w:r w:rsidRPr="00506852">
        <w:rPr>
          <w:szCs w:val="22"/>
        </w:rPr>
        <w:t xml:space="preserve"> 275% FPL.</w:t>
      </w:r>
    </w:p>
    <w:p w14:paraId="3CF99F50" w14:textId="77777777" w:rsidR="008D1FD4" w:rsidRPr="003F576E" w:rsidRDefault="008D1FD4" w:rsidP="0006719C">
      <w:pPr>
        <w:pStyle w:val="ListParagraph"/>
        <w:spacing w:after="0"/>
        <w:ind w:left="0"/>
        <w:rPr>
          <w:b/>
          <w:i/>
        </w:rPr>
      </w:pPr>
    </w:p>
    <w:p w14:paraId="4F619029" w14:textId="77777777" w:rsidR="008D1FD4" w:rsidRPr="00F01F4D" w:rsidRDefault="008D1FD4" w:rsidP="0006719C">
      <w:pPr>
        <w:spacing w:after="0"/>
        <w:rPr>
          <w:b/>
          <w:szCs w:val="22"/>
        </w:rPr>
      </w:pPr>
      <w:r>
        <w:rPr>
          <w:b/>
        </w:rPr>
        <w:lastRenderedPageBreak/>
        <w:t xml:space="preserve">Recommendation 12: </w:t>
      </w:r>
      <w:r w:rsidRPr="00506852">
        <w:t>Repeal the sunset of provider tax to continue a dedicated state funding stream to support health care for low-income Minnesotans. With continuation of the provider tax, establish more stringent parameters for: (a) uses of Health Care Access Fund</w:t>
      </w:r>
      <w:r>
        <w:t xml:space="preserve"> (HCAF)</w:t>
      </w:r>
      <w:r w:rsidRPr="00506852">
        <w:t xml:space="preserve"> revenue and (b) the mechanism for contingent tax reduction based on program funding needs.</w:t>
      </w:r>
    </w:p>
    <w:p w14:paraId="6CE45566" w14:textId="77777777" w:rsidR="008D1FD4" w:rsidRPr="003F576E" w:rsidRDefault="008D1FD4" w:rsidP="0006719C">
      <w:pPr>
        <w:pStyle w:val="ListParagraph"/>
        <w:spacing w:after="0"/>
        <w:ind w:left="0"/>
        <w:rPr>
          <w:b/>
          <w:i/>
        </w:rPr>
      </w:pPr>
    </w:p>
    <w:p w14:paraId="0EAD2876" w14:textId="77777777" w:rsidR="008D1FD4" w:rsidRPr="00F01F4D" w:rsidRDefault="008D1FD4" w:rsidP="0006719C">
      <w:pPr>
        <w:spacing w:after="0"/>
        <w:rPr>
          <w:b/>
          <w:szCs w:val="22"/>
        </w:rPr>
      </w:pPr>
      <w:r w:rsidRPr="00F41179">
        <w:rPr>
          <w:b/>
        </w:rPr>
        <w:t>Recommendation 13:</w:t>
      </w:r>
      <w:r>
        <w:t xml:space="preserve"> </w:t>
      </w:r>
      <w:r w:rsidRPr="00506852">
        <w:t>Expand the MNsure user fee to on- and off-Marketplace products, provided that the Legislature statutorily reduces the user fee/premium withhold level.</w:t>
      </w:r>
    </w:p>
    <w:p w14:paraId="081ABED5" w14:textId="77777777" w:rsidR="008D1FD4" w:rsidRDefault="008D1FD4" w:rsidP="0006719C">
      <w:pPr>
        <w:pStyle w:val="ListParagraph"/>
        <w:spacing w:after="0"/>
        <w:ind w:left="0"/>
        <w:rPr>
          <w:b/>
          <w:i/>
        </w:rPr>
      </w:pPr>
    </w:p>
    <w:p w14:paraId="0517B172" w14:textId="77777777" w:rsidR="008D1FD4" w:rsidRDefault="008D1FD4" w:rsidP="008D1FD4">
      <w:pPr>
        <w:pStyle w:val="Heading2"/>
      </w:pPr>
      <w:r w:rsidRPr="003F576E">
        <w:t>RECOMMENDATION AREA</w:t>
      </w:r>
    </w:p>
    <w:p w14:paraId="23F5FAD4" w14:textId="77777777" w:rsidR="008D1FD4" w:rsidRPr="003F576E" w:rsidRDefault="008D1FD4" w:rsidP="008D1FD4">
      <w:pPr>
        <w:pStyle w:val="Heading3"/>
      </w:pPr>
      <w:r w:rsidRPr="003F576E">
        <w:t>Assessing the Future of MNsure</w:t>
      </w:r>
    </w:p>
    <w:p w14:paraId="78FF2180" w14:textId="77777777" w:rsidR="008D1FD4" w:rsidRDefault="008D1FD4" w:rsidP="00FB3795">
      <w:pPr>
        <w:spacing w:after="0"/>
        <w:rPr>
          <w:b/>
          <w:szCs w:val="22"/>
        </w:rPr>
      </w:pPr>
    </w:p>
    <w:p w14:paraId="2EA46731" w14:textId="77777777" w:rsidR="008D1FD4" w:rsidRPr="00BA3710" w:rsidRDefault="008D1FD4" w:rsidP="00FB3795">
      <w:pPr>
        <w:spacing w:after="0"/>
      </w:pPr>
      <w:r w:rsidRPr="00BA3710">
        <w:rPr>
          <w:b/>
          <w:szCs w:val="22"/>
        </w:rPr>
        <w:t xml:space="preserve">Recommendation 14: </w:t>
      </w:r>
      <w:r w:rsidRPr="007322EF">
        <w:rPr>
          <w:szCs w:val="22"/>
        </w:rPr>
        <w:t xml:space="preserve">The </w:t>
      </w:r>
      <w:r>
        <w:rPr>
          <w:szCs w:val="22"/>
        </w:rPr>
        <w:t>Task Force</w:t>
      </w:r>
      <w:r w:rsidRPr="007322EF">
        <w:rPr>
          <w:szCs w:val="22"/>
        </w:rPr>
        <w:t xml:space="preserve"> does not recommend transitioning to either the Federally Facilitated Marketplace (FFM) or Supported State-Based Marketplace (SSBM) at this time. A partially-privatized State-Based Marketplace (SBM) model could be considered following the evaluation of MNsure’s 2016 open enrollment period. Therefore, the </w:t>
      </w:r>
      <w:r>
        <w:rPr>
          <w:szCs w:val="22"/>
        </w:rPr>
        <w:t>Task Force</w:t>
      </w:r>
      <w:r w:rsidRPr="007322EF">
        <w:rPr>
          <w:szCs w:val="22"/>
        </w:rPr>
        <w:t xml:space="preserve"> recommends continuing a SBM at this time.</w:t>
      </w:r>
    </w:p>
    <w:p w14:paraId="741783E9" w14:textId="77777777" w:rsidR="008D1FD4" w:rsidRPr="003F576E" w:rsidRDefault="008D1FD4" w:rsidP="0006719C">
      <w:pPr>
        <w:pStyle w:val="ListParagraph"/>
        <w:spacing w:after="0"/>
        <w:ind w:left="0"/>
        <w:rPr>
          <w:b/>
          <w:i/>
        </w:rPr>
      </w:pPr>
    </w:p>
    <w:p w14:paraId="452C7BED" w14:textId="77777777" w:rsidR="008D1FD4" w:rsidRPr="00BA3710" w:rsidRDefault="008D1FD4" w:rsidP="0006719C">
      <w:pPr>
        <w:spacing w:after="0"/>
      </w:pPr>
      <w:r w:rsidRPr="00BA3710">
        <w:rPr>
          <w:b/>
        </w:rPr>
        <w:t xml:space="preserve">Recommendation 15: </w:t>
      </w:r>
      <w:r w:rsidRPr="00BA3710">
        <w:t xml:space="preserve">Develop framework to evaluate MNsure’s 2016 open enrollment period performance, including the criteria listed in this report and in Appendix </w:t>
      </w:r>
      <w:r>
        <w:t>N</w:t>
      </w:r>
      <w:r w:rsidRPr="00BA3710">
        <w:t>.</w:t>
      </w:r>
    </w:p>
    <w:p w14:paraId="569B1DB8" w14:textId="77777777" w:rsidR="008D1FD4" w:rsidRPr="003F576E" w:rsidRDefault="008D1FD4" w:rsidP="0006719C">
      <w:pPr>
        <w:pStyle w:val="ListParagraph"/>
        <w:spacing w:after="0"/>
        <w:ind w:left="0"/>
        <w:rPr>
          <w:b/>
          <w:i/>
        </w:rPr>
      </w:pPr>
    </w:p>
    <w:p w14:paraId="17D007E5" w14:textId="77777777" w:rsidR="008D1FD4" w:rsidRPr="00BA3710" w:rsidRDefault="008D1FD4" w:rsidP="0006719C">
      <w:pPr>
        <w:spacing w:after="0"/>
      </w:pPr>
      <w:r w:rsidRPr="00BA3710">
        <w:rPr>
          <w:b/>
          <w:szCs w:val="22"/>
        </w:rPr>
        <w:t xml:space="preserve">Recommendation 16: </w:t>
      </w:r>
      <w:r w:rsidRPr="00BA3710">
        <w:rPr>
          <w:szCs w:val="22"/>
        </w:rPr>
        <w:t>Codify the current IT executive steering committee structure for overseeing the IT modernization plan, including MNsure’s IT system.</w:t>
      </w:r>
    </w:p>
    <w:p w14:paraId="37042E05" w14:textId="77777777" w:rsidR="008D1FD4" w:rsidRDefault="008D1FD4" w:rsidP="008D1FD4">
      <w:pPr>
        <w:spacing w:after="0"/>
        <w:rPr>
          <w:b/>
          <w:szCs w:val="22"/>
        </w:rPr>
      </w:pPr>
    </w:p>
    <w:p w14:paraId="6EB52974" w14:textId="77777777" w:rsidR="008D1FD4" w:rsidRDefault="008D1FD4" w:rsidP="008D1FD4">
      <w:pPr>
        <w:pStyle w:val="Heading2"/>
      </w:pPr>
      <w:r w:rsidRPr="003F576E">
        <w:t>RECOMMENDATION AREA</w:t>
      </w:r>
    </w:p>
    <w:p w14:paraId="22CB8CD2" w14:textId="77777777" w:rsidR="008D1FD4" w:rsidRPr="003F576E" w:rsidRDefault="008D1FD4" w:rsidP="008D1FD4">
      <w:pPr>
        <w:pStyle w:val="Heading3"/>
      </w:pPr>
      <w:r w:rsidRPr="003F576E">
        <w:t>Ensuring Stability of the Insurance Market</w:t>
      </w:r>
    </w:p>
    <w:p w14:paraId="3666386E" w14:textId="77777777" w:rsidR="008D1FD4" w:rsidRDefault="008D1FD4" w:rsidP="0006719C">
      <w:pPr>
        <w:spacing w:after="0"/>
        <w:rPr>
          <w:b/>
          <w:szCs w:val="22"/>
        </w:rPr>
      </w:pPr>
    </w:p>
    <w:p w14:paraId="75E629B4" w14:textId="77777777" w:rsidR="008D1FD4" w:rsidRPr="00BA3710" w:rsidRDefault="008D1FD4" w:rsidP="0006719C">
      <w:pPr>
        <w:spacing w:after="0"/>
        <w:rPr>
          <w:szCs w:val="22"/>
        </w:rPr>
      </w:pPr>
      <w:r w:rsidRPr="00BA3710">
        <w:rPr>
          <w:b/>
          <w:szCs w:val="22"/>
        </w:rPr>
        <w:t xml:space="preserve">Recommendation 17: </w:t>
      </w:r>
      <w:r w:rsidRPr="00BA3710">
        <w:rPr>
          <w:szCs w:val="22"/>
        </w:rPr>
        <w:t>The Department of Commerce should explore options to stabilize Marketplace premiums by:</w:t>
      </w:r>
    </w:p>
    <w:p w14:paraId="19DAE14B" w14:textId="77777777" w:rsidR="008D1FD4" w:rsidRPr="00BA3710" w:rsidRDefault="008D1FD4" w:rsidP="00DF36FF">
      <w:pPr>
        <w:pStyle w:val="ListParagraph"/>
        <w:numPr>
          <w:ilvl w:val="0"/>
          <w:numId w:val="58"/>
        </w:numPr>
        <w:spacing w:after="0"/>
        <w:rPr>
          <w:szCs w:val="22"/>
        </w:rPr>
      </w:pPr>
      <w:r w:rsidRPr="00BA3710">
        <w:rPr>
          <w:szCs w:val="22"/>
        </w:rPr>
        <w:t>Studying and modeling potential Minnesota-tailored rate-stability mechanisms for the individual market, such as a reinsurance program</w:t>
      </w:r>
    </w:p>
    <w:p w14:paraId="7D01BA4E" w14:textId="77777777" w:rsidR="008D1FD4" w:rsidRPr="00BA3710" w:rsidRDefault="008D1FD4" w:rsidP="00DF36FF">
      <w:pPr>
        <w:pStyle w:val="ListParagraph"/>
        <w:numPr>
          <w:ilvl w:val="0"/>
          <w:numId w:val="58"/>
        </w:numPr>
        <w:spacing w:after="0"/>
        <w:rPr>
          <w:szCs w:val="22"/>
        </w:rPr>
      </w:pPr>
      <w:r w:rsidRPr="00BA3710">
        <w:rPr>
          <w:szCs w:val="22"/>
        </w:rPr>
        <w:t>Studying and modeling merging Minnesota’s individual and small group markets</w:t>
      </w:r>
    </w:p>
    <w:p w14:paraId="46554E27" w14:textId="77777777" w:rsidR="008D1FD4" w:rsidRPr="00BA3710" w:rsidRDefault="008D1FD4" w:rsidP="00DF36FF">
      <w:pPr>
        <w:pStyle w:val="ListParagraph"/>
        <w:numPr>
          <w:ilvl w:val="0"/>
          <w:numId w:val="58"/>
        </w:numPr>
        <w:spacing w:after="0"/>
        <w:rPr>
          <w:szCs w:val="22"/>
        </w:rPr>
      </w:pPr>
      <w:r w:rsidRPr="00BA3710">
        <w:rPr>
          <w:szCs w:val="22"/>
        </w:rPr>
        <w:t>Considering the impact of establishing maximum limits on health plan carriers’ excess capital reserves or surplus</w:t>
      </w:r>
    </w:p>
    <w:p w14:paraId="51A405E9" w14:textId="77777777" w:rsidR="008D1FD4" w:rsidRPr="0075786A" w:rsidRDefault="008D1FD4" w:rsidP="007728C3">
      <w:pPr>
        <w:pStyle w:val="ListParagraph"/>
        <w:numPr>
          <w:ilvl w:val="0"/>
          <w:numId w:val="58"/>
        </w:numPr>
        <w:spacing w:after="0"/>
        <w:rPr>
          <w:i/>
          <w:szCs w:val="22"/>
        </w:rPr>
      </w:pPr>
      <w:r w:rsidRPr="00BA3710">
        <w:rPr>
          <w:szCs w:val="22"/>
        </w:rPr>
        <w:t xml:space="preserve">Studying options for making Minnesota’s rate review process more transparent with public information </w:t>
      </w:r>
      <w:r>
        <w:rPr>
          <w:szCs w:val="22"/>
        </w:rPr>
        <w:t>and</w:t>
      </w:r>
      <w:r w:rsidRPr="00BA3710">
        <w:rPr>
          <w:szCs w:val="22"/>
        </w:rPr>
        <w:t xml:space="preserve"> hearing</w:t>
      </w:r>
      <w:r>
        <w:rPr>
          <w:szCs w:val="22"/>
        </w:rPr>
        <w:t>s</w:t>
      </w:r>
      <w:r w:rsidRPr="00BA3710">
        <w:rPr>
          <w:szCs w:val="22"/>
        </w:rPr>
        <w:t>.</w:t>
      </w:r>
    </w:p>
    <w:p w14:paraId="3973DE71" w14:textId="77777777" w:rsidR="008D1FD4" w:rsidRDefault="008D1FD4" w:rsidP="008D1FD4">
      <w:pPr>
        <w:spacing w:after="0"/>
        <w:rPr>
          <w:b/>
          <w:szCs w:val="22"/>
        </w:rPr>
      </w:pPr>
    </w:p>
    <w:p w14:paraId="0A8F99CC" w14:textId="77777777" w:rsidR="008D1FD4" w:rsidRPr="008D1FD4" w:rsidRDefault="008D1FD4" w:rsidP="008D1FD4">
      <w:pPr>
        <w:pStyle w:val="Heading2"/>
      </w:pPr>
      <w:r w:rsidRPr="008D1FD4">
        <w:t>RECOMMENDATION AREA</w:t>
      </w:r>
    </w:p>
    <w:p w14:paraId="01D9869C" w14:textId="66C44146" w:rsidR="0024443E" w:rsidRDefault="008D1FD4" w:rsidP="008D1FD4">
      <w:pPr>
        <w:pStyle w:val="Heading3"/>
      </w:pPr>
      <w:r w:rsidRPr="003F576E">
        <w:t>Expanding Innovative Health Care Purchasing and Delivery Systems Strategies</w:t>
      </w:r>
      <w:r w:rsidR="0024443E">
        <w:t xml:space="preserve"> </w:t>
      </w:r>
    </w:p>
    <w:p w14:paraId="1C838A06" w14:textId="110DC320" w:rsidR="008D1FD4" w:rsidRPr="0024443E" w:rsidRDefault="008D1FD4" w:rsidP="0024443E">
      <w:pPr>
        <w:rPr>
          <w:i/>
        </w:rPr>
      </w:pPr>
      <w:proofErr w:type="gramStart"/>
      <w:r w:rsidRPr="0024443E">
        <w:rPr>
          <w:i/>
        </w:rPr>
        <w:t>and</w:t>
      </w:r>
      <w:proofErr w:type="gramEnd"/>
      <w:r w:rsidRPr="0024443E">
        <w:rPr>
          <w:i/>
        </w:rPr>
        <w:t xml:space="preserve"> Advancing the Triple Aim</w:t>
      </w:r>
    </w:p>
    <w:p w14:paraId="2D2979E8" w14:textId="77777777" w:rsidR="008D1FD4" w:rsidRDefault="008D1FD4" w:rsidP="0006719C">
      <w:pPr>
        <w:spacing w:after="0"/>
        <w:rPr>
          <w:b/>
          <w:i/>
          <w:szCs w:val="22"/>
        </w:rPr>
      </w:pPr>
    </w:p>
    <w:p w14:paraId="7D52BB81" w14:textId="77777777" w:rsidR="008D1FD4" w:rsidRPr="00DF36FF" w:rsidRDefault="008D1FD4" w:rsidP="008D1FD4">
      <w:pPr>
        <w:pStyle w:val="Heading4"/>
        <w:rPr>
          <w:i w:val="0"/>
        </w:rPr>
      </w:pPr>
      <w:r w:rsidRPr="00DF36FF">
        <w:t>Enhancements to Data Sharing</w:t>
      </w:r>
    </w:p>
    <w:p w14:paraId="3E201800" w14:textId="77777777" w:rsidR="008D1FD4" w:rsidRPr="00E54416" w:rsidRDefault="008D1FD4" w:rsidP="00A86250">
      <w:pPr>
        <w:spacing w:after="0"/>
        <w:rPr>
          <w:b/>
          <w:szCs w:val="22"/>
        </w:rPr>
      </w:pPr>
      <w:r w:rsidRPr="00E54416">
        <w:rPr>
          <w:b/>
          <w:szCs w:val="22"/>
        </w:rPr>
        <w:t xml:space="preserve">Recommendation </w:t>
      </w:r>
      <w:r>
        <w:rPr>
          <w:b/>
          <w:szCs w:val="22"/>
        </w:rPr>
        <w:t>18</w:t>
      </w:r>
      <w:r w:rsidRPr="00E54416">
        <w:rPr>
          <w:b/>
          <w:szCs w:val="22"/>
        </w:rPr>
        <w:t>:</w:t>
      </w:r>
      <w:r>
        <w:rPr>
          <w:b/>
          <w:szCs w:val="22"/>
        </w:rPr>
        <w:t xml:space="preserve"> </w:t>
      </w:r>
      <w:r>
        <w:rPr>
          <w:szCs w:val="22"/>
        </w:rPr>
        <w:t>Modify the Minnesota Health Records Act to conform with HIPAA and m</w:t>
      </w:r>
      <w:r w:rsidRPr="00E54416">
        <w:rPr>
          <w:szCs w:val="22"/>
        </w:rPr>
        <w:t>ake technical updates and clarifications to</w:t>
      </w:r>
      <w:r>
        <w:rPr>
          <w:szCs w:val="22"/>
        </w:rPr>
        <w:t xml:space="preserve"> the</w:t>
      </w:r>
      <w:r w:rsidRPr="00E54416">
        <w:rPr>
          <w:szCs w:val="22"/>
        </w:rPr>
        <w:t xml:space="preserve"> Minnesota Health Records Act to leave a patient’s ability to specify how their information can be shared intact but allow patient consent preferences to be more easily operationalized at the provider level.</w:t>
      </w:r>
    </w:p>
    <w:p w14:paraId="70458579" w14:textId="77777777" w:rsidR="008D1FD4" w:rsidRPr="003F576E" w:rsidRDefault="008D1FD4" w:rsidP="0006719C">
      <w:pPr>
        <w:pStyle w:val="ListParagraph"/>
        <w:spacing w:after="0"/>
        <w:ind w:left="0"/>
        <w:rPr>
          <w:b/>
          <w:i/>
        </w:rPr>
      </w:pPr>
    </w:p>
    <w:p w14:paraId="361E6C1E" w14:textId="77777777" w:rsidR="008D1FD4" w:rsidRPr="00E54416" w:rsidRDefault="008D1FD4" w:rsidP="0006719C">
      <w:pPr>
        <w:spacing w:after="0"/>
        <w:rPr>
          <w:b/>
          <w:szCs w:val="22"/>
        </w:rPr>
      </w:pPr>
      <w:r w:rsidRPr="00E54416">
        <w:rPr>
          <w:b/>
          <w:szCs w:val="22"/>
        </w:rPr>
        <w:lastRenderedPageBreak/>
        <w:t xml:space="preserve">Recommendation </w:t>
      </w:r>
      <w:r>
        <w:rPr>
          <w:b/>
          <w:szCs w:val="22"/>
        </w:rPr>
        <w:t>19</w:t>
      </w:r>
      <w:r w:rsidRPr="00E54416">
        <w:rPr>
          <w:b/>
          <w:szCs w:val="22"/>
        </w:rPr>
        <w:t>:</w:t>
      </w:r>
      <w:r>
        <w:rPr>
          <w:b/>
          <w:szCs w:val="22"/>
        </w:rPr>
        <w:t xml:space="preserve"> </w:t>
      </w:r>
      <w:r w:rsidRPr="00E54416">
        <w:rPr>
          <w:szCs w:val="22"/>
        </w:rPr>
        <w:t>Provide ongoing education and technical assistance to health and health care providers and patients, about state and federal laws that govern how clinical health information can be stored, used, and shared, and about best practices for appropriately securing information and preventing inappropriate use.</w:t>
      </w:r>
    </w:p>
    <w:p w14:paraId="482689CC" w14:textId="77777777" w:rsidR="008D1FD4" w:rsidRPr="003F576E" w:rsidRDefault="008D1FD4" w:rsidP="0006719C">
      <w:pPr>
        <w:pStyle w:val="ListParagraph"/>
        <w:spacing w:after="0"/>
        <w:ind w:left="0"/>
        <w:rPr>
          <w:b/>
          <w:i/>
        </w:rPr>
      </w:pPr>
    </w:p>
    <w:p w14:paraId="09813B38" w14:textId="77777777" w:rsidR="008D1FD4" w:rsidRPr="00E54416" w:rsidRDefault="008D1FD4" w:rsidP="0006719C">
      <w:pPr>
        <w:spacing w:after="0"/>
        <w:rPr>
          <w:b/>
          <w:szCs w:val="22"/>
        </w:rPr>
      </w:pPr>
      <w:r w:rsidRPr="00E54416">
        <w:rPr>
          <w:b/>
          <w:szCs w:val="22"/>
        </w:rPr>
        <w:t xml:space="preserve">Recommendation </w:t>
      </w:r>
      <w:r>
        <w:rPr>
          <w:b/>
          <w:szCs w:val="22"/>
        </w:rPr>
        <w:t>20</w:t>
      </w:r>
      <w:r w:rsidRPr="00E54416">
        <w:rPr>
          <w:b/>
          <w:szCs w:val="22"/>
        </w:rPr>
        <w:t>:</w:t>
      </w:r>
      <w:r>
        <w:rPr>
          <w:b/>
          <w:szCs w:val="22"/>
        </w:rPr>
        <w:t xml:space="preserve"> </w:t>
      </w:r>
      <w:r w:rsidRPr="00E54416">
        <w:rPr>
          <w:szCs w:val="22"/>
        </w:rPr>
        <w:t>Conduct a broad study that will make recommendations on the appropriate future structure, legal/regulatory framework, financing, and governance for health information exchange (HIE) in Minnesota, building on lessons learned in Minnesota and from other states and countries.</w:t>
      </w:r>
      <w:r w:rsidRPr="00E54416">
        <w:rPr>
          <w:b/>
          <w:szCs w:val="22"/>
        </w:rPr>
        <w:t xml:space="preserve"> </w:t>
      </w:r>
    </w:p>
    <w:p w14:paraId="3DC97A3B" w14:textId="77777777" w:rsidR="008D1FD4" w:rsidRPr="003F576E" w:rsidRDefault="008D1FD4" w:rsidP="0006719C">
      <w:pPr>
        <w:pStyle w:val="ListParagraph"/>
        <w:spacing w:after="0"/>
        <w:ind w:left="0"/>
        <w:rPr>
          <w:b/>
          <w:i/>
        </w:rPr>
      </w:pPr>
    </w:p>
    <w:p w14:paraId="75630DAF" w14:textId="77777777" w:rsidR="008D1FD4" w:rsidRPr="00FC07D2" w:rsidRDefault="008D1FD4" w:rsidP="0006719C">
      <w:pPr>
        <w:spacing w:after="0"/>
        <w:rPr>
          <w:rStyle w:val="SubtleReference"/>
        </w:rPr>
      </w:pPr>
      <w:r w:rsidRPr="00FC07D2">
        <w:rPr>
          <w:rStyle w:val="SubtleReference"/>
        </w:rPr>
        <w:t>Longer-term recommendations and considerations related to data sharing:</w:t>
      </w:r>
    </w:p>
    <w:p w14:paraId="7410F41F" w14:textId="77777777" w:rsidR="008D1FD4" w:rsidRPr="00C577D8" w:rsidRDefault="008D1FD4" w:rsidP="00DF36FF">
      <w:pPr>
        <w:numPr>
          <w:ilvl w:val="0"/>
          <w:numId w:val="37"/>
        </w:numPr>
        <w:spacing w:after="0"/>
        <w:ind w:left="360"/>
        <w:rPr>
          <w:szCs w:val="22"/>
        </w:rPr>
      </w:pPr>
      <w:r w:rsidRPr="00C577D8">
        <w:rPr>
          <w:szCs w:val="22"/>
        </w:rPr>
        <w:t>Dependent on results of health information exchange study</w:t>
      </w:r>
      <w:r>
        <w:rPr>
          <w:szCs w:val="22"/>
        </w:rPr>
        <w:t xml:space="preserve"> (see recommendation 20)</w:t>
      </w:r>
      <w:r w:rsidRPr="00C577D8">
        <w:rPr>
          <w:szCs w:val="22"/>
        </w:rPr>
        <w:t xml:space="preserve">, consider other modifications to Minnesota’s Health Records Act, to </w:t>
      </w:r>
      <w:r>
        <w:rPr>
          <w:szCs w:val="22"/>
        </w:rPr>
        <w:t xml:space="preserve">further </w:t>
      </w:r>
      <w:r w:rsidRPr="00C577D8">
        <w:rPr>
          <w:szCs w:val="22"/>
        </w:rPr>
        <w:t>align with federal HIPAA standards or to update opt-in or opt-out requirements.</w:t>
      </w:r>
    </w:p>
    <w:p w14:paraId="49724BB6" w14:textId="77777777" w:rsidR="008D1FD4" w:rsidRPr="00C577D8" w:rsidRDefault="008D1FD4" w:rsidP="00DF36FF">
      <w:pPr>
        <w:numPr>
          <w:ilvl w:val="0"/>
          <w:numId w:val="37"/>
        </w:numPr>
        <w:spacing w:after="0"/>
        <w:ind w:left="360"/>
        <w:rPr>
          <w:szCs w:val="22"/>
        </w:rPr>
      </w:pPr>
      <w:r w:rsidRPr="00C577D8">
        <w:rPr>
          <w:szCs w:val="22"/>
        </w:rPr>
        <w:t>Support expanded health information technology capabilities (ex. EHRs) in a broad range of care settings, to enable smaller and specialty providers to participate in HIE.</w:t>
      </w:r>
    </w:p>
    <w:p w14:paraId="40CF6819" w14:textId="77777777" w:rsidR="008D1FD4" w:rsidRPr="00C577D8" w:rsidRDefault="008D1FD4" w:rsidP="00DF36FF">
      <w:pPr>
        <w:numPr>
          <w:ilvl w:val="0"/>
          <w:numId w:val="37"/>
        </w:numPr>
        <w:spacing w:after="0"/>
        <w:ind w:left="360"/>
        <w:rPr>
          <w:szCs w:val="22"/>
        </w:rPr>
      </w:pPr>
      <w:r w:rsidRPr="00C577D8">
        <w:rPr>
          <w:szCs w:val="22"/>
        </w:rPr>
        <w:t>Consider developing a funding mechanism for core HIE transactions, such as admission/discharge/transfer alerts, care summaries, or care plans, to ensure basic information can be exchanged statewide.</w:t>
      </w:r>
    </w:p>
    <w:p w14:paraId="6FD95EE5" w14:textId="77777777" w:rsidR="008D1FD4" w:rsidRPr="00C577D8" w:rsidRDefault="008D1FD4" w:rsidP="00DF36FF">
      <w:pPr>
        <w:numPr>
          <w:ilvl w:val="0"/>
          <w:numId w:val="37"/>
        </w:numPr>
        <w:spacing w:after="0"/>
        <w:ind w:left="360"/>
        <w:rPr>
          <w:b/>
          <w:szCs w:val="22"/>
        </w:rPr>
      </w:pPr>
      <w:r w:rsidRPr="00C577D8">
        <w:rPr>
          <w:szCs w:val="22"/>
        </w:rPr>
        <w:t>Support the establishment of robust, sustainable HIE “shared services,” such as consent management, which would be available statewide through a central vendor.</w:t>
      </w:r>
      <w:r w:rsidRPr="00C577D8">
        <w:rPr>
          <w:b/>
          <w:szCs w:val="22"/>
        </w:rPr>
        <w:t xml:space="preserve"> </w:t>
      </w:r>
    </w:p>
    <w:p w14:paraId="011A72E7" w14:textId="77777777" w:rsidR="008D1FD4" w:rsidRPr="003F576E" w:rsidRDefault="008D1FD4" w:rsidP="0006719C">
      <w:pPr>
        <w:pStyle w:val="ListParagraph"/>
        <w:spacing w:after="0"/>
        <w:ind w:left="0"/>
        <w:rPr>
          <w:b/>
          <w:i/>
        </w:rPr>
      </w:pPr>
    </w:p>
    <w:p w14:paraId="6EB6B732" w14:textId="77777777" w:rsidR="008D1FD4" w:rsidRPr="007853CC" w:rsidRDefault="008D1FD4" w:rsidP="008D1FD4">
      <w:pPr>
        <w:pStyle w:val="Heading4"/>
      </w:pPr>
      <w:r w:rsidRPr="007853CC">
        <w:t>Enhancements that Support Integrated Care Delivery</w:t>
      </w:r>
    </w:p>
    <w:p w14:paraId="559B21D6" w14:textId="77777777" w:rsidR="008D1FD4" w:rsidRPr="005A2D24" w:rsidRDefault="008D1FD4" w:rsidP="00080CAB">
      <w:pPr>
        <w:spacing w:after="0"/>
        <w:rPr>
          <w:iCs/>
          <w:szCs w:val="22"/>
        </w:rPr>
      </w:pPr>
      <w:r w:rsidRPr="005A2D24">
        <w:rPr>
          <w:b/>
          <w:bCs/>
          <w:szCs w:val="22"/>
        </w:rPr>
        <w:t xml:space="preserve">Recommendation </w:t>
      </w:r>
      <w:r>
        <w:rPr>
          <w:b/>
          <w:bCs/>
          <w:szCs w:val="22"/>
        </w:rPr>
        <w:t>21</w:t>
      </w:r>
      <w:r w:rsidRPr="005A2D24">
        <w:rPr>
          <w:b/>
          <w:bCs/>
          <w:szCs w:val="22"/>
        </w:rPr>
        <w:t xml:space="preserve">: </w:t>
      </w:r>
      <w:r w:rsidRPr="005A2D24">
        <w:rPr>
          <w:iCs/>
          <w:szCs w:val="22"/>
        </w:rPr>
        <w:t>Evaluate, on an ongoing basis, current value-based purchasing, accountable care, and care coordination demonstrations, pilots, and programs for effectiveness in meeting Triple Aim goals. Programs and pilots should not be significantly expanded until an evaluation of cost/benefits is conducted. At a minimum, the evaluation should address the following domains:</w:t>
      </w:r>
    </w:p>
    <w:p w14:paraId="3B6DED61" w14:textId="77777777" w:rsidR="008D1FD4" w:rsidRPr="005A2D24" w:rsidRDefault="008D1FD4" w:rsidP="00080CAB">
      <w:pPr>
        <w:numPr>
          <w:ilvl w:val="0"/>
          <w:numId w:val="38"/>
        </w:numPr>
        <w:spacing w:after="0"/>
        <w:ind w:left="360"/>
        <w:rPr>
          <w:szCs w:val="22"/>
        </w:rPr>
      </w:pPr>
      <w:r w:rsidRPr="005A2D24">
        <w:rPr>
          <w:szCs w:val="22"/>
        </w:rPr>
        <w:t>Health disparities - Does the model worsen or improve health disparities? If so, by what mechanism or mechanisms? Does the model sufficiently account for variation in the complexity of patients across providers?</w:t>
      </w:r>
    </w:p>
    <w:p w14:paraId="03386587" w14:textId="77777777" w:rsidR="008D1FD4" w:rsidRPr="005A2D24" w:rsidRDefault="008D1FD4" w:rsidP="00080CAB">
      <w:pPr>
        <w:numPr>
          <w:ilvl w:val="0"/>
          <w:numId w:val="38"/>
        </w:numPr>
        <w:spacing w:after="0"/>
        <w:ind w:left="360"/>
        <w:rPr>
          <w:szCs w:val="22"/>
        </w:rPr>
      </w:pPr>
      <w:r w:rsidRPr="005A2D24">
        <w:rPr>
          <w:szCs w:val="22"/>
        </w:rPr>
        <w:t xml:space="preserve">Financial stability and cost of health care system – What is the impact of the model on costs across the system, including all payers? What costs are associated with the model at the provider level? What is the </w:t>
      </w:r>
      <w:r>
        <w:rPr>
          <w:szCs w:val="22"/>
        </w:rPr>
        <w:t>return on investment (</w:t>
      </w:r>
      <w:r w:rsidRPr="005A2D24">
        <w:rPr>
          <w:szCs w:val="22"/>
        </w:rPr>
        <w:t>ROI</w:t>
      </w:r>
      <w:r>
        <w:rPr>
          <w:szCs w:val="22"/>
        </w:rPr>
        <w:t>)</w:t>
      </w:r>
      <w:r w:rsidRPr="005A2D24">
        <w:rPr>
          <w:szCs w:val="22"/>
        </w:rPr>
        <w:t xml:space="preserve"> of the program? </w:t>
      </w:r>
    </w:p>
    <w:p w14:paraId="259BA3DE" w14:textId="77777777" w:rsidR="008D1FD4" w:rsidRPr="005A2D24" w:rsidRDefault="008D1FD4" w:rsidP="00080CAB">
      <w:pPr>
        <w:numPr>
          <w:ilvl w:val="0"/>
          <w:numId w:val="38"/>
        </w:numPr>
        <w:spacing w:after="0"/>
        <w:ind w:left="360"/>
        <w:rPr>
          <w:szCs w:val="22"/>
        </w:rPr>
      </w:pPr>
      <w:r w:rsidRPr="005A2D24">
        <w:rPr>
          <w:szCs w:val="22"/>
        </w:rPr>
        <w:t>Patient choice and provider attachment - How is the patient attached to the provider for purpose of service delivery, care coordination, and payment (prospective or otherwise)? How does the model incorporate patient choice of provider?</w:t>
      </w:r>
    </w:p>
    <w:p w14:paraId="5EEA3B7D" w14:textId="77777777" w:rsidR="008D1FD4" w:rsidRPr="005A2D24" w:rsidRDefault="008D1FD4" w:rsidP="00080CAB">
      <w:pPr>
        <w:numPr>
          <w:ilvl w:val="0"/>
          <w:numId w:val="38"/>
        </w:numPr>
        <w:spacing w:after="0"/>
        <w:ind w:left="360"/>
        <w:rPr>
          <w:szCs w:val="22"/>
        </w:rPr>
      </w:pPr>
      <w:r w:rsidRPr="005A2D24">
        <w:rPr>
          <w:szCs w:val="22"/>
        </w:rPr>
        <w:t>Multi-payer alignment – What are the areas of alignment across payers under the model? What additional areas could be aligned?</w:t>
      </w:r>
    </w:p>
    <w:p w14:paraId="5AF911F6" w14:textId="77777777" w:rsidR="008D1FD4" w:rsidRPr="005A2D24" w:rsidRDefault="008D1FD4" w:rsidP="00080CAB">
      <w:pPr>
        <w:numPr>
          <w:ilvl w:val="0"/>
          <w:numId w:val="38"/>
        </w:numPr>
        <w:spacing w:after="0"/>
        <w:ind w:left="360"/>
        <w:rPr>
          <w:szCs w:val="22"/>
        </w:rPr>
      </w:pPr>
      <w:r w:rsidRPr="005A2D24">
        <w:rPr>
          <w:szCs w:val="22"/>
        </w:rPr>
        <w:t xml:space="preserve">Quality of patient care – How has the model impacted the quality of patient care? </w:t>
      </w:r>
    </w:p>
    <w:p w14:paraId="2032E542" w14:textId="77777777" w:rsidR="008D1FD4" w:rsidRPr="005A2D24" w:rsidRDefault="008D1FD4" w:rsidP="00080CAB">
      <w:pPr>
        <w:numPr>
          <w:ilvl w:val="0"/>
          <w:numId w:val="38"/>
        </w:numPr>
        <w:spacing w:after="0"/>
        <w:ind w:left="360"/>
        <w:rPr>
          <w:szCs w:val="22"/>
        </w:rPr>
      </w:pPr>
      <w:r w:rsidRPr="005A2D24">
        <w:rPr>
          <w:szCs w:val="22"/>
        </w:rPr>
        <w:t xml:space="preserve">Population health – How does the model address population health? </w:t>
      </w:r>
    </w:p>
    <w:p w14:paraId="5B91D51D" w14:textId="77777777" w:rsidR="008D1FD4" w:rsidRDefault="008D1FD4" w:rsidP="00080CAB">
      <w:pPr>
        <w:numPr>
          <w:ilvl w:val="0"/>
          <w:numId w:val="38"/>
        </w:numPr>
        <w:spacing w:after="0"/>
        <w:ind w:left="360"/>
        <w:rPr>
          <w:szCs w:val="22"/>
        </w:rPr>
      </w:pPr>
      <w:r w:rsidRPr="005A2D24">
        <w:rPr>
          <w:szCs w:val="22"/>
        </w:rPr>
        <w:t>Social determinants of health – How does the model address the determinants of health beyond medical care (e.g. flexible payment options that enable payment for non-medical services)?</w:t>
      </w:r>
    </w:p>
    <w:p w14:paraId="04A9A5F6" w14:textId="77777777" w:rsidR="008D1FD4" w:rsidRPr="00080CAB" w:rsidRDefault="008D1FD4" w:rsidP="00080CAB">
      <w:pPr>
        <w:numPr>
          <w:ilvl w:val="0"/>
          <w:numId w:val="38"/>
        </w:numPr>
        <w:spacing w:after="0"/>
        <w:ind w:left="360"/>
        <w:rPr>
          <w:szCs w:val="22"/>
        </w:rPr>
      </w:pPr>
      <w:r w:rsidRPr="00080CAB">
        <w:rPr>
          <w:szCs w:val="22"/>
        </w:rPr>
        <w:t>Impact on provider work force - What impact has the model had on the provider work force? If it has an impact, what mechanism caused the impact?</w:t>
      </w:r>
    </w:p>
    <w:p w14:paraId="7B507B79" w14:textId="77777777" w:rsidR="008D1FD4" w:rsidRPr="003F576E" w:rsidRDefault="008D1FD4" w:rsidP="0006719C">
      <w:pPr>
        <w:pStyle w:val="ListParagraph"/>
        <w:spacing w:after="0"/>
        <w:ind w:left="0"/>
        <w:rPr>
          <w:b/>
          <w:i/>
        </w:rPr>
      </w:pPr>
    </w:p>
    <w:p w14:paraId="599DB822" w14:textId="77777777" w:rsidR="008D1FD4" w:rsidRPr="00E54416" w:rsidRDefault="008D1FD4" w:rsidP="0006719C">
      <w:pPr>
        <w:spacing w:after="0"/>
        <w:rPr>
          <w:b/>
          <w:szCs w:val="22"/>
        </w:rPr>
      </w:pPr>
      <w:r>
        <w:rPr>
          <w:b/>
          <w:szCs w:val="22"/>
        </w:rPr>
        <w:t xml:space="preserve">Recommendation 22: </w:t>
      </w:r>
      <w:r w:rsidRPr="005A2D24">
        <w:rPr>
          <w:szCs w:val="22"/>
        </w:rPr>
        <w:t>To the extent possible, seek alignment of approaches across public and private payers, including, but not limited to, consistent measurement and payment methodologies, attribution models, and definitions.</w:t>
      </w:r>
    </w:p>
    <w:p w14:paraId="12ADCED7" w14:textId="77777777" w:rsidR="008D1FD4" w:rsidRPr="003F576E" w:rsidRDefault="008D1FD4" w:rsidP="0006719C">
      <w:pPr>
        <w:pStyle w:val="ListParagraph"/>
        <w:spacing w:after="0"/>
        <w:ind w:left="0"/>
        <w:rPr>
          <w:b/>
          <w:i/>
        </w:rPr>
      </w:pPr>
    </w:p>
    <w:p w14:paraId="30E4C375" w14:textId="77777777" w:rsidR="008D1FD4" w:rsidRPr="005A2D24" w:rsidRDefault="008D1FD4" w:rsidP="0006719C">
      <w:pPr>
        <w:spacing w:after="0"/>
        <w:rPr>
          <w:iCs/>
          <w:szCs w:val="22"/>
        </w:rPr>
      </w:pPr>
      <w:r w:rsidRPr="005A2D24">
        <w:rPr>
          <w:b/>
          <w:iCs/>
          <w:szCs w:val="22"/>
        </w:rPr>
        <w:t xml:space="preserve">Recommendation </w:t>
      </w:r>
      <w:r>
        <w:rPr>
          <w:b/>
          <w:iCs/>
          <w:szCs w:val="22"/>
        </w:rPr>
        <w:t>23</w:t>
      </w:r>
      <w:r w:rsidRPr="005A2D24">
        <w:rPr>
          <w:b/>
          <w:iCs/>
          <w:szCs w:val="22"/>
        </w:rPr>
        <w:t>:</w:t>
      </w:r>
      <w:r>
        <w:rPr>
          <w:b/>
          <w:i/>
          <w:iCs/>
          <w:szCs w:val="22"/>
        </w:rPr>
        <w:t xml:space="preserve"> </w:t>
      </w:r>
      <w:r w:rsidRPr="005A2D24">
        <w:rPr>
          <w:iCs/>
          <w:szCs w:val="22"/>
        </w:rPr>
        <w:t>Conduct a study that examines various long-term payment options for health care delivery.  Study will do a comparative cost/benefit analysis of the health care system under the following approaches:</w:t>
      </w:r>
    </w:p>
    <w:p w14:paraId="532B1F91" w14:textId="77777777" w:rsidR="008D1FD4" w:rsidRPr="005A2D24" w:rsidRDefault="008D1FD4" w:rsidP="00DF36FF">
      <w:pPr>
        <w:numPr>
          <w:ilvl w:val="0"/>
          <w:numId w:val="57"/>
        </w:numPr>
        <w:spacing w:after="0"/>
        <w:rPr>
          <w:szCs w:val="22"/>
        </w:rPr>
      </w:pPr>
      <w:r w:rsidRPr="005A2D24">
        <w:rPr>
          <w:szCs w:val="22"/>
        </w:rPr>
        <w:t>Maintenance of current financing mechanism, without expansion of value-based purchasing beyond existing levels;</w:t>
      </w:r>
    </w:p>
    <w:p w14:paraId="3866E321" w14:textId="77777777" w:rsidR="008D1FD4" w:rsidRPr="005A2D24" w:rsidRDefault="008D1FD4" w:rsidP="00DF36FF">
      <w:pPr>
        <w:numPr>
          <w:ilvl w:val="0"/>
          <w:numId w:val="57"/>
        </w:numPr>
        <w:spacing w:after="0"/>
        <w:rPr>
          <w:szCs w:val="22"/>
        </w:rPr>
      </w:pPr>
      <w:r w:rsidRPr="005A2D24">
        <w:rPr>
          <w:szCs w:val="22"/>
        </w:rPr>
        <w:lastRenderedPageBreak/>
        <w:t>Expansion of value-based purchasing within current system;</w:t>
      </w:r>
    </w:p>
    <w:p w14:paraId="5E244094" w14:textId="77777777" w:rsidR="008D1FD4" w:rsidRPr="005A2D24" w:rsidRDefault="008D1FD4" w:rsidP="00DF36FF">
      <w:pPr>
        <w:numPr>
          <w:ilvl w:val="0"/>
          <w:numId w:val="57"/>
        </w:numPr>
        <w:spacing w:after="0"/>
        <w:rPr>
          <w:szCs w:val="22"/>
        </w:rPr>
      </w:pPr>
      <w:r w:rsidRPr="005A2D24">
        <w:rPr>
          <w:szCs w:val="22"/>
        </w:rPr>
        <w:t>Publicly-financed, privately-delivered universal health care system.</w:t>
      </w:r>
    </w:p>
    <w:p w14:paraId="2FCE5492" w14:textId="77777777" w:rsidR="008D1FD4" w:rsidRPr="005A2D24" w:rsidRDefault="008D1FD4" w:rsidP="0006719C">
      <w:pPr>
        <w:spacing w:after="0"/>
        <w:rPr>
          <w:szCs w:val="22"/>
        </w:rPr>
      </w:pPr>
      <w:r w:rsidRPr="005A2D24">
        <w:rPr>
          <w:szCs w:val="22"/>
        </w:rPr>
        <w:t>The study would additionally examine the stability and sustainability of health care system under the approach and identify any data or information needed to design and implement the system.</w:t>
      </w:r>
    </w:p>
    <w:p w14:paraId="198F209C" w14:textId="77777777" w:rsidR="008D1FD4" w:rsidRPr="003F576E" w:rsidRDefault="008D1FD4" w:rsidP="0006719C">
      <w:pPr>
        <w:pStyle w:val="ListParagraph"/>
        <w:spacing w:after="0"/>
        <w:ind w:left="0"/>
        <w:rPr>
          <w:b/>
          <w:i/>
        </w:rPr>
      </w:pPr>
    </w:p>
    <w:p w14:paraId="22E2C3A9" w14:textId="77777777" w:rsidR="008D1FD4" w:rsidRPr="00E54416" w:rsidRDefault="008D1FD4" w:rsidP="0006719C">
      <w:pPr>
        <w:spacing w:after="0"/>
        <w:rPr>
          <w:b/>
          <w:szCs w:val="22"/>
        </w:rPr>
      </w:pPr>
      <w:r w:rsidRPr="005A2D24">
        <w:rPr>
          <w:b/>
          <w:szCs w:val="22"/>
        </w:rPr>
        <w:t xml:space="preserve">Recommendation </w:t>
      </w:r>
      <w:r>
        <w:rPr>
          <w:b/>
          <w:szCs w:val="22"/>
        </w:rPr>
        <w:t>24</w:t>
      </w:r>
      <w:r w:rsidRPr="005A2D24">
        <w:rPr>
          <w:b/>
          <w:szCs w:val="22"/>
        </w:rPr>
        <w:t>:</w:t>
      </w:r>
      <w:r>
        <w:rPr>
          <w:b/>
          <w:szCs w:val="22"/>
        </w:rPr>
        <w:t xml:space="preserve"> </w:t>
      </w:r>
      <w:r w:rsidRPr="005A2D24">
        <w:rPr>
          <w:szCs w:val="22"/>
        </w:rPr>
        <w:t>Incorporate enhancements, as described in recommendat</w:t>
      </w:r>
      <w:r>
        <w:rPr>
          <w:szCs w:val="22"/>
        </w:rPr>
        <w:t>ions 25 through 33</w:t>
      </w:r>
      <w:r w:rsidRPr="005A2D24">
        <w:rPr>
          <w:szCs w:val="22"/>
        </w:rPr>
        <w:t xml:space="preserve"> below, as appropriate, into existing demonstrations, pilots, and programs, such as Integrated Health Partnerships, Health Care Homes, Behavioral Health Homes, and other value-based purchasing and accountable care arrangements across Medicaid and commercial beneficiaries. Consider any new arrangements as pilots or demonstrations, with expa</w:t>
      </w:r>
      <w:r>
        <w:rPr>
          <w:szCs w:val="22"/>
        </w:rPr>
        <w:t>nsion</w:t>
      </w:r>
      <w:r w:rsidRPr="005A2D24">
        <w:rPr>
          <w:szCs w:val="22"/>
        </w:rPr>
        <w:t xml:space="preserve"> only following robust evaluation (</w:t>
      </w:r>
      <w:r>
        <w:rPr>
          <w:szCs w:val="22"/>
        </w:rPr>
        <w:t>as described in Recommendation 21</w:t>
      </w:r>
      <w:r w:rsidRPr="005A2D24">
        <w:rPr>
          <w:szCs w:val="22"/>
        </w:rPr>
        <w:t xml:space="preserve"> above). </w:t>
      </w:r>
    </w:p>
    <w:p w14:paraId="7078ECB4" w14:textId="77777777" w:rsidR="008D1FD4" w:rsidRPr="003F576E" w:rsidRDefault="008D1FD4" w:rsidP="0006719C">
      <w:pPr>
        <w:pStyle w:val="ListParagraph"/>
        <w:spacing w:after="0"/>
        <w:ind w:left="0"/>
        <w:rPr>
          <w:b/>
          <w:i/>
        </w:rPr>
      </w:pPr>
    </w:p>
    <w:p w14:paraId="6A1DAC13" w14:textId="77777777" w:rsidR="008D1FD4" w:rsidRPr="007D32E3" w:rsidRDefault="008D1FD4" w:rsidP="008D1FD4">
      <w:pPr>
        <w:pStyle w:val="Heading4"/>
      </w:pPr>
      <w:r w:rsidRPr="007D32E3">
        <w:t>Immediate Enhancements to Pilots, Demonstrations and Existing Programs</w:t>
      </w:r>
    </w:p>
    <w:p w14:paraId="55B2D11A" w14:textId="77777777" w:rsidR="008D1FD4" w:rsidRPr="007D32E3" w:rsidRDefault="008D1FD4" w:rsidP="0006719C">
      <w:pPr>
        <w:spacing w:after="0"/>
        <w:rPr>
          <w:iCs/>
          <w:szCs w:val="22"/>
        </w:rPr>
      </w:pPr>
      <w:r w:rsidRPr="007D32E3">
        <w:rPr>
          <w:b/>
          <w:bCs/>
          <w:szCs w:val="22"/>
        </w:rPr>
        <w:t xml:space="preserve">Recommendation </w:t>
      </w:r>
      <w:r>
        <w:rPr>
          <w:b/>
          <w:bCs/>
          <w:szCs w:val="22"/>
        </w:rPr>
        <w:t>25</w:t>
      </w:r>
      <w:r w:rsidRPr="007D32E3">
        <w:rPr>
          <w:b/>
          <w:bCs/>
          <w:szCs w:val="22"/>
        </w:rPr>
        <w:t>:</w:t>
      </w:r>
      <w:r>
        <w:rPr>
          <w:b/>
          <w:bCs/>
          <w:szCs w:val="22"/>
        </w:rPr>
        <w:t xml:space="preserve"> </w:t>
      </w:r>
      <w:r w:rsidRPr="007D32E3">
        <w:rPr>
          <w:iCs/>
          <w:szCs w:val="22"/>
        </w:rPr>
        <w:t>Enhance community partnerships by:</w:t>
      </w:r>
    </w:p>
    <w:p w14:paraId="480CBDD1" w14:textId="77777777" w:rsidR="008D1FD4" w:rsidRPr="007D32E3" w:rsidRDefault="008D1FD4" w:rsidP="00DF36FF">
      <w:pPr>
        <w:numPr>
          <w:ilvl w:val="0"/>
          <w:numId w:val="40"/>
        </w:numPr>
        <w:spacing w:after="0"/>
        <w:ind w:left="360"/>
        <w:rPr>
          <w:szCs w:val="22"/>
        </w:rPr>
      </w:pPr>
      <w:r w:rsidRPr="007D32E3">
        <w:rPr>
          <w:szCs w:val="22"/>
        </w:rPr>
        <w:t>Encouraging or incentivizing partnerships and care coordination activities with broad range of community organizations within care coordination models, and</w:t>
      </w:r>
    </w:p>
    <w:p w14:paraId="2BDADFEE" w14:textId="77777777" w:rsidR="008D1FD4" w:rsidRPr="007D32E3" w:rsidRDefault="008D1FD4" w:rsidP="00DF36FF">
      <w:pPr>
        <w:numPr>
          <w:ilvl w:val="0"/>
          <w:numId w:val="40"/>
        </w:numPr>
        <w:spacing w:after="0"/>
        <w:ind w:left="360"/>
        <w:rPr>
          <w:szCs w:val="22"/>
        </w:rPr>
      </w:pPr>
      <w:r w:rsidRPr="007D32E3">
        <w:rPr>
          <w:szCs w:val="22"/>
        </w:rPr>
        <w:t>Funding innovation grants and contracts to collaboratives that include providers and community groups, to meet specific goals related to community care coordination tied to social determinants of health, population health improvement, or other priorities.</w:t>
      </w:r>
    </w:p>
    <w:p w14:paraId="06CD819C" w14:textId="77777777" w:rsidR="008D1FD4" w:rsidRPr="003F576E" w:rsidRDefault="008D1FD4" w:rsidP="0006719C">
      <w:pPr>
        <w:pStyle w:val="ListParagraph"/>
        <w:spacing w:after="0"/>
        <w:ind w:left="0"/>
        <w:rPr>
          <w:b/>
          <w:i/>
        </w:rPr>
      </w:pPr>
    </w:p>
    <w:p w14:paraId="14F1F07A" w14:textId="77777777" w:rsidR="008D1FD4" w:rsidRPr="007D32E3" w:rsidRDefault="008D1FD4" w:rsidP="0006719C">
      <w:pPr>
        <w:spacing w:after="0"/>
        <w:rPr>
          <w:iCs/>
          <w:szCs w:val="22"/>
        </w:rPr>
      </w:pPr>
      <w:r w:rsidRPr="007D32E3">
        <w:rPr>
          <w:b/>
          <w:bCs/>
          <w:szCs w:val="22"/>
        </w:rPr>
        <w:t xml:space="preserve">Recommendation </w:t>
      </w:r>
      <w:r>
        <w:rPr>
          <w:b/>
          <w:bCs/>
          <w:szCs w:val="22"/>
        </w:rPr>
        <w:t>26</w:t>
      </w:r>
      <w:r w:rsidRPr="007D32E3">
        <w:rPr>
          <w:b/>
          <w:bCs/>
          <w:szCs w:val="22"/>
        </w:rPr>
        <w:t>:</w:t>
      </w:r>
      <w:r>
        <w:rPr>
          <w:b/>
          <w:bCs/>
          <w:szCs w:val="22"/>
        </w:rPr>
        <w:t xml:space="preserve"> </w:t>
      </w:r>
      <w:r w:rsidRPr="007D32E3">
        <w:rPr>
          <w:iCs/>
          <w:szCs w:val="22"/>
        </w:rPr>
        <w:t>Encourage or incentivize participation of diverse patients in provider or provider/community collaborative leadership or advisory teams.</w:t>
      </w:r>
    </w:p>
    <w:p w14:paraId="20A331A5" w14:textId="77777777" w:rsidR="008D1FD4" w:rsidRPr="003F576E" w:rsidRDefault="008D1FD4" w:rsidP="0006719C">
      <w:pPr>
        <w:pStyle w:val="ListParagraph"/>
        <w:spacing w:after="0"/>
        <w:ind w:left="0"/>
        <w:rPr>
          <w:b/>
          <w:i/>
        </w:rPr>
      </w:pPr>
    </w:p>
    <w:p w14:paraId="2FB438B2" w14:textId="77777777" w:rsidR="008D1FD4" w:rsidRPr="007D32E3" w:rsidRDefault="008D1FD4" w:rsidP="0006719C">
      <w:pPr>
        <w:spacing w:after="0"/>
        <w:rPr>
          <w:iCs/>
          <w:szCs w:val="22"/>
        </w:rPr>
      </w:pPr>
      <w:r w:rsidRPr="007D32E3">
        <w:rPr>
          <w:b/>
          <w:bCs/>
          <w:szCs w:val="22"/>
        </w:rPr>
        <w:t xml:space="preserve">Recommendation </w:t>
      </w:r>
      <w:r>
        <w:rPr>
          <w:b/>
          <w:bCs/>
          <w:szCs w:val="22"/>
        </w:rPr>
        <w:t>27</w:t>
      </w:r>
      <w:r w:rsidRPr="007D32E3">
        <w:rPr>
          <w:b/>
          <w:bCs/>
          <w:szCs w:val="22"/>
        </w:rPr>
        <w:t>:</w:t>
      </w:r>
      <w:r>
        <w:rPr>
          <w:b/>
          <w:bCs/>
          <w:szCs w:val="22"/>
        </w:rPr>
        <w:t xml:space="preserve"> </w:t>
      </w:r>
      <w:r w:rsidRPr="007D32E3">
        <w:rPr>
          <w:iCs/>
          <w:szCs w:val="22"/>
        </w:rPr>
        <w:t>Base measurement on the following principles: (1) Measures include risk adjustment methodology that reflects medical and social complexity; and (2) Existing pilots, demonstrations, and programs that tie a portion of a provider’s payment to costs and/or quality performance should reward providers for both performance or improvement vs. provider’s previous year and performance or improvement vs. peer group, to incentivize both lower and higher performing, efficient providers.</w:t>
      </w:r>
    </w:p>
    <w:p w14:paraId="2FEFCF85" w14:textId="77777777" w:rsidR="008D1FD4" w:rsidRPr="003F576E" w:rsidRDefault="008D1FD4" w:rsidP="0006719C">
      <w:pPr>
        <w:pStyle w:val="ListParagraph"/>
        <w:spacing w:after="0"/>
        <w:ind w:left="0"/>
        <w:rPr>
          <w:b/>
          <w:i/>
        </w:rPr>
      </w:pPr>
    </w:p>
    <w:p w14:paraId="1DF8E667" w14:textId="77777777" w:rsidR="008D1FD4" w:rsidRPr="007D32E3" w:rsidRDefault="008D1FD4" w:rsidP="0006719C">
      <w:pPr>
        <w:spacing w:after="0"/>
        <w:rPr>
          <w:iCs/>
          <w:szCs w:val="22"/>
        </w:rPr>
      </w:pPr>
      <w:r w:rsidRPr="007D32E3">
        <w:rPr>
          <w:b/>
          <w:bCs/>
          <w:szCs w:val="22"/>
        </w:rPr>
        <w:t xml:space="preserve">Recommendation </w:t>
      </w:r>
      <w:r>
        <w:rPr>
          <w:b/>
          <w:bCs/>
          <w:szCs w:val="22"/>
        </w:rPr>
        <w:t>28</w:t>
      </w:r>
      <w:r w:rsidRPr="007D32E3">
        <w:rPr>
          <w:b/>
          <w:bCs/>
          <w:szCs w:val="22"/>
        </w:rPr>
        <w:t xml:space="preserve">: </w:t>
      </w:r>
      <w:r w:rsidRPr="007D32E3">
        <w:rPr>
          <w:iCs/>
          <w:szCs w:val="22"/>
        </w:rPr>
        <w:t>Incorporate system wide utilization measures to assess impact of care coordination (such as preventable ED visits, admissions, or readmissions; appropriate use of preventive services and outpatient management of chronic conditions and risk factors) into performance measurement models; for use in evaluation of pilots, programs, and demonstrations; or as part of certification processes.</w:t>
      </w:r>
    </w:p>
    <w:p w14:paraId="70ABC306" w14:textId="77777777" w:rsidR="008D1FD4" w:rsidRPr="003F576E" w:rsidRDefault="008D1FD4" w:rsidP="0006719C">
      <w:pPr>
        <w:pStyle w:val="ListParagraph"/>
        <w:spacing w:after="0"/>
        <w:ind w:left="0"/>
        <w:rPr>
          <w:b/>
          <w:i/>
        </w:rPr>
      </w:pPr>
    </w:p>
    <w:p w14:paraId="0865B392" w14:textId="77777777" w:rsidR="008D1FD4" w:rsidRPr="007D32E3" w:rsidRDefault="008D1FD4" w:rsidP="0006719C">
      <w:pPr>
        <w:spacing w:after="0"/>
        <w:rPr>
          <w:iCs/>
          <w:szCs w:val="22"/>
        </w:rPr>
      </w:pPr>
      <w:r w:rsidRPr="007D32E3">
        <w:rPr>
          <w:b/>
          <w:bCs/>
          <w:szCs w:val="22"/>
        </w:rPr>
        <w:t xml:space="preserve">Recommendation </w:t>
      </w:r>
      <w:r>
        <w:rPr>
          <w:b/>
          <w:bCs/>
          <w:szCs w:val="22"/>
        </w:rPr>
        <w:t>29</w:t>
      </w:r>
      <w:r w:rsidRPr="007D32E3">
        <w:rPr>
          <w:b/>
          <w:bCs/>
          <w:szCs w:val="22"/>
        </w:rPr>
        <w:t>:</w:t>
      </w:r>
      <w:r>
        <w:rPr>
          <w:b/>
          <w:bCs/>
          <w:szCs w:val="22"/>
        </w:rPr>
        <w:t xml:space="preserve"> </w:t>
      </w:r>
      <w:r w:rsidRPr="007D32E3">
        <w:rPr>
          <w:iCs/>
          <w:szCs w:val="22"/>
        </w:rPr>
        <w:t>For participants not attributed to an ACO (such as certified Health Care Homes), provide a prospective, flexible payment for care coordination, non-medical services and infrastructure development that is sufficient to cover costs for enrolled patients with complex medical and non-medical needs.</w:t>
      </w:r>
    </w:p>
    <w:p w14:paraId="40A69B37" w14:textId="77777777" w:rsidR="008D1FD4" w:rsidRPr="003F576E" w:rsidRDefault="008D1FD4" w:rsidP="0006719C">
      <w:pPr>
        <w:pStyle w:val="ListParagraph"/>
        <w:spacing w:after="0"/>
        <w:ind w:left="0"/>
        <w:rPr>
          <w:b/>
          <w:i/>
        </w:rPr>
      </w:pPr>
    </w:p>
    <w:p w14:paraId="529D6924" w14:textId="77777777" w:rsidR="008D1FD4" w:rsidRPr="007D32E3" w:rsidRDefault="008D1FD4" w:rsidP="0006719C">
      <w:pPr>
        <w:spacing w:after="0"/>
        <w:rPr>
          <w:iCs/>
          <w:szCs w:val="22"/>
        </w:rPr>
      </w:pPr>
      <w:r w:rsidRPr="007D32E3">
        <w:rPr>
          <w:b/>
          <w:bCs/>
          <w:szCs w:val="22"/>
        </w:rPr>
        <w:t xml:space="preserve">Recommendation </w:t>
      </w:r>
      <w:r>
        <w:rPr>
          <w:b/>
          <w:bCs/>
          <w:szCs w:val="22"/>
        </w:rPr>
        <w:t>30</w:t>
      </w:r>
      <w:r w:rsidRPr="007D32E3">
        <w:rPr>
          <w:b/>
          <w:bCs/>
          <w:szCs w:val="22"/>
        </w:rPr>
        <w:t>:</w:t>
      </w:r>
      <w:r>
        <w:rPr>
          <w:b/>
          <w:bCs/>
          <w:szCs w:val="22"/>
        </w:rPr>
        <w:t xml:space="preserve"> </w:t>
      </w:r>
      <w:r w:rsidRPr="007D32E3">
        <w:rPr>
          <w:iCs/>
          <w:szCs w:val="22"/>
        </w:rPr>
        <w:t>For participants attributed to an ACO (including risk-taking IHP program), provide a prospective “pre-payment” of a portion of their anticipated total cost of care (TCOC) savings.</w:t>
      </w:r>
    </w:p>
    <w:p w14:paraId="7BD773F3" w14:textId="77777777" w:rsidR="008D1FD4" w:rsidRPr="003F576E" w:rsidRDefault="008D1FD4" w:rsidP="0006719C">
      <w:pPr>
        <w:pStyle w:val="ListParagraph"/>
        <w:spacing w:after="0"/>
        <w:ind w:left="0"/>
        <w:rPr>
          <w:b/>
          <w:i/>
        </w:rPr>
      </w:pPr>
    </w:p>
    <w:p w14:paraId="1388245F" w14:textId="77777777" w:rsidR="008D1FD4" w:rsidRPr="007D32E3" w:rsidRDefault="008D1FD4" w:rsidP="0006719C">
      <w:pPr>
        <w:spacing w:after="0"/>
        <w:rPr>
          <w:iCs/>
          <w:szCs w:val="22"/>
        </w:rPr>
      </w:pPr>
      <w:r w:rsidRPr="007D32E3">
        <w:rPr>
          <w:b/>
          <w:bCs/>
          <w:szCs w:val="22"/>
        </w:rPr>
        <w:t xml:space="preserve">Recommendation </w:t>
      </w:r>
      <w:r>
        <w:rPr>
          <w:b/>
          <w:bCs/>
          <w:szCs w:val="22"/>
        </w:rPr>
        <w:t>31</w:t>
      </w:r>
      <w:r w:rsidRPr="007D32E3">
        <w:rPr>
          <w:b/>
          <w:bCs/>
          <w:szCs w:val="22"/>
        </w:rPr>
        <w:t>:</w:t>
      </w:r>
      <w:r>
        <w:rPr>
          <w:b/>
          <w:bCs/>
          <w:szCs w:val="22"/>
        </w:rPr>
        <w:t xml:space="preserve"> </w:t>
      </w:r>
      <w:r w:rsidRPr="007D32E3">
        <w:rPr>
          <w:iCs/>
          <w:szCs w:val="22"/>
        </w:rPr>
        <w:t>Establish consistency of payment approach for care coordination and alternate payment arrangements across all payers. Areas for consistency include</w:t>
      </w:r>
      <w:r>
        <w:rPr>
          <w:iCs/>
          <w:szCs w:val="22"/>
        </w:rPr>
        <w:t>:</w:t>
      </w:r>
      <w:r w:rsidRPr="007D32E3">
        <w:rPr>
          <w:iCs/>
          <w:szCs w:val="22"/>
        </w:rPr>
        <w:t xml:space="preserve"> (1) level of payments for care coordination activities, (2) identification of complexity tiers, (3) policies for copayments for care coordination services, and (4) billing processes.</w:t>
      </w:r>
    </w:p>
    <w:p w14:paraId="68E803FC" w14:textId="77777777" w:rsidR="008D1FD4" w:rsidRPr="003F576E" w:rsidRDefault="008D1FD4" w:rsidP="0006719C">
      <w:pPr>
        <w:pStyle w:val="ListParagraph"/>
        <w:spacing w:after="0"/>
        <w:ind w:left="0"/>
        <w:rPr>
          <w:b/>
          <w:i/>
        </w:rPr>
      </w:pPr>
    </w:p>
    <w:p w14:paraId="27EDD295" w14:textId="77777777" w:rsidR="008D1FD4" w:rsidRPr="007D32E3" w:rsidRDefault="008D1FD4" w:rsidP="0006719C">
      <w:pPr>
        <w:spacing w:after="0"/>
        <w:rPr>
          <w:iCs/>
          <w:szCs w:val="22"/>
        </w:rPr>
      </w:pPr>
      <w:r w:rsidRPr="007D32E3">
        <w:rPr>
          <w:b/>
          <w:bCs/>
          <w:szCs w:val="22"/>
        </w:rPr>
        <w:t xml:space="preserve">Recommendation </w:t>
      </w:r>
      <w:r>
        <w:rPr>
          <w:b/>
          <w:bCs/>
          <w:szCs w:val="22"/>
        </w:rPr>
        <w:t>32</w:t>
      </w:r>
      <w:r w:rsidRPr="007D32E3">
        <w:rPr>
          <w:b/>
          <w:bCs/>
          <w:szCs w:val="22"/>
        </w:rPr>
        <w:t>:</w:t>
      </w:r>
      <w:r>
        <w:rPr>
          <w:b/>
          <w:bCs/>
          <w:szCs w:val="22"/>
        </w:rPr>
        <w:t xml:space="preserve"> </w:t>
      </w:r>
      <w:r w:rsidRPr="007D32E3">
        <w:rPr>
          <w:iCs/>
          <w:szCs w:val="22"/>
        </w:rPr>
        <w:t xml:space="preserve">Ensure care coordination payments are sufficient to cover costs for the patients with the most intensive needs; the State (MDH and DHS) shall make modifications to the current HCH tiering process to incorporate social and non-medical complexity, and enhance payment rates to incorporate costs associated with </w:t>
      </w:r>
      <w:r w:rsidRPr="007D32E3">
        <w:rPr>
          <w:iCs/>
          <w:szCs w:val="22"/>
        </w:rPr>
        <w:lastRenderedPageBreak/>
        <w:t>care coordination for patients experiencing these conditions. Modifications may include enhancing the payment tiers to include an additional, higher tier payment for patients with intense needs and social complexity.</w:t>
      </w:r>
    </w:p>
    <w:p w14:paraId="69B47784" w14:textId="77777777" w:rsidR="008D1FD4" w:rsidRPr="003F576E" w:rsidRDefault="008D1FD4" w:rsidP="0006719C">
      <w:pPr>
        <w:pStyle w:val="ListParagraph"/>
        <w:spacing w:after="0"/>
        <w:ind w:left="0"/>
        <w:rPr>
          <w:b/>
          <w:i/>
        </w:rPr>
      </w:pPr>
    </w:p>
    <w:p w14:paraId="4B59F78B" w14:textId="77777777" w:rsidR="008D1FD4" w:rsidRPr="007D32E3" w:rsidRDefault="008D1FD4" w:rsidP="0006719C">
      <w:pPr>
        <w:spacing w:after="0"/>
        <w:rPr>
          <w:iCs/>
          <w:szCs w:val="22"/>
        </w:rPr>
      </w:pPr>
      <w:r w:rsidRPr="007D32E3">
        <w:rPr>
          <w:b/>
          <w:bCs/>
          <w:szCs w:val="22"/>
        </w:rPr>
        <w:t xml:space="preserve">Recommendation </w:t>
      </w:r>
      <w:r>
        <w:rPr>
          <w:b/>
          <w:bCs/>
          <w:szCs w:val="22"/>
        </w:rPr>
        <w:t>33</w:t>
      </w:r>
      <w:r w:rsidRPr="007D32E3">
        <w:rPr>
          <w:b/>
          <w:bCs/>
          <w:szCs w:val="22"/>
        </w:rPr>
        <w:t xml:space="preserve">: </w:t>
      </w:r>
      <w:r w:rsidRPr="007D32E3">
        <w:rPr>
          <w:iCs/>
          <w:szCs w:val="22"/>
        </w:rPr>
        <w:t>Strengthen the patient attribution and provider selection process by:</w:t>
      </w:r>
    </w:p>
    <w:p w14:paraId="557A5B3F" w14:textId="77777777" w:rsidR="008D1FD4" w:rsidRPr="007D32E3" w:rsidRDefault="008D1FD4" w:rsidP="00DF36FF">
      <w:pPr>
        <w:numPr>
          <w:ilvl w:val="0"/>
          <w:numId w:val="41"/>
        </w:numPr>
        <w:spacing w:after="0"/>
        <w:ind w:left="360"/>
        <w:rPr>
          <w:szCs w:val="22"/>
        </w:rPr>
      </w:pPr>
      <w:r w:rsidRPr="007D32E3">
        <w:rPr>
          <w:szCs w:val="22"/>
        </w:rPr>
        <w:t>Allowing patients to choose a provider during the enrollment process and change their primary provider outside of enrollment;</w:t>
      </w:r>
    </w:p>
    <w:p w14:paraId="520B723A" w14:textId="77777777" w:rsidR="008D1FD4" w:rsidRPr="007D32E3" w:rsidRDefault="008D1FD4" w:rsidP="00DF36FF">
      <w:pPr>
        <w:numPr>
          <w:ilvl w:val="0"/>
          <w:numId w:val="41"/>
        </w:numPr>
        <w:spacing w:after="0"/>
        <w:ind w:left="360"/>
        <w:rPr>
          <w:szCs w:val="22"/>
        </w:rPr>
      </w:pPr>
      <w:r w:rsidRPr="007D32E3">
        <w:rPr>
          <w:szCs w:val="22"/>
        </w:rPr>
        <w:t>Giving providers data about who enrolled with them so they have the opportunity to proactively engage with those enrollees;</w:t>
      </w:r>
    </w:p>
    <w:p w14:paraId="1C29FBF5" w14:textId="77777777" w:rsidR="008D1FD4" w:rsidRPr="007D32E3" w:rsidRDefault="008D1FD4" w:rsidP="00DF36FF">
      <w:pPr>
        <w:numPr>
          <w:ilvl w:val="0"/>
          <w:numId w:val="41"/>
        </w:numPr>
        <w:spacing w:after="0"/>
        <w:ind w:left="360"/>
        <w:rPr>
          <w:szCs w:val="22"/>
        </w:rPr>
      </w:pPr>
      <w:r w:rsidRPr="007D32E3">
        <w:rPr>
          <w:szCs w:val="22"/>
        </w:rPr>
        <w:t>Using consistent methods for attaching patients to providers across payers;</w:t>
      </w:r>
    </w:p>
    <w:p w14:paraId="11B3942A" w14:textId="77777777" w:rsidR="008D1FD4" w:rsidRPr="007D32E3" w:rsidRDefault="008D1FD4" w:rsidP="00DF36FF">
      <w:pPr>
        <w:numPr>
          <w:ilvl w:val="0"/>
          <w:numId w:val="41"/>
        </w:numPr>
        <w:spacing w:after="0"/>
        <w:ind w:left="360"/>
        <w:rPr>
          <w:szCs w:val="22"/>
        </w:rPr>
      </w:pPr>
      <w:r w:rsidRPr="007D32E3">
        <w:rPr>
          <w:szCs w:val="22"/>
        </w:rPr>
        <w:t>Attributing or assigning patients prospectively to a primary care provider or care network for the purposes of payment (not for care delivery) under an ACO or similar model, with back-end reconciliation.</w:t>
      </w:r>
    </w:p>
    <w:p w14:paraId="3147BE8A" w14:textId="77777777" w:rsidR="008D1FD4" w:rsidRPr="003F576E" w:rsidRDefault="008D1FD4" w:rsidP="0006719C">
      <w:pPr>
        <w:pStyle w:val="ListParagraph"/>
        <w:spacing w:after="0"/>
        <w:ind w:left="0"/>
        <w:rPr>
          <w:b/>
          <w:i/>
        </w:rPr>
      </w:pPr>
    </w:p>
    <w:p w14:paraId="28657F36" w14:textId="77777777" w:rsidR="008D1FD4" w:rsidRPr="00FC07D2" w:rsidRDefault="008D1FD4" w:rsidP="0006719C">
      <w:pPr>
        <w:spacing w:after="0"/>
        <w:rPr>
          <w:rStyle w:val="SubtleReference"/>
        </w:rPr>
      </w:pPr>
      <w:r w:rsidRPr="00FC07D2">
        <w:rPr>
          <w:rStyle w:val="SubtleReference"/>
        </w:rPr>
        <w:t xml:space="preserve">Longer Term Recommendations Related to Supporting Integrated Care Delivery: </w:t>
      </w:r>
    </w:p>
    <w:p w14:paraId="58CE149B" w14:textId="77777777" w:rsidR="008D1FD4" w:rsidRPr="009E3494" w:rsidRDefault="008D1FD4" w:rsidP="00DF36FF">
      <w:pPr>
        <w:numPr>
          <w:ilvl w:val="0"/>
          <w:numId w:val="42"/>
        </w:numPr>
        <w:spacing w:after="0"/>
        <w:ind w:left="360"/>
        <w:rPr>
          <w:bCs/>
          <w:szCs w:val="22"/>
        </w:rPr>
      </w:pPr>
      <w:r w:rsidRPr="009E3494">
        <w:rPr>
          <w:bCs/>
          <w:szCs w:val="22"/>
        </w:rPr>
        <w:t xml:space="preserve">Identify ways of enhancing existing payment models to more comprehensively include the dual eligible population. </w:t>
      </w:r>
    </w:p>
    <w:p w14:paraId="74F95DEA" w14:textId="77777777" w:rsidR="008D1FD4" w:rsidRPr="009E3494" w:rsidRDefault="008D1FD4" w:rsidP="00DF36FF">
      <w:pPr>
        <w:numPr>
          <w:ilvl w:val="0"/>
          <w:numId w:val="42"/>
        </w:numPr>
        <w:spacing w:after="0"/>
        <w:ind w:left="360"/>
        <w:rPr>
          <w:bCs/>
          <w:szCs w:val="22"/>
        </w:rPr>
      </w:pPr>
      <w:r w:rsidRPr="009E3494">
        <w:rPr>
          <w:bCs/>
          <w:szCs w:val="22"/>
        </w:rPr>
        <w:t xml:space="preserve">Identify methods to report on the costs and savings associated with non-medical services, with potential integration into TCOC calculations. </w:t>
      </w:r>
    </w:p>
    <w:p w14:paraId="1D94D185" w14:textId="77777777" w:rsidR="008D1FD4" w:rsidRPr="009E3494" w:rsidRDefault="008D1FD4" w:rsidP="00DF36FF">
      <w:pPr>
        <w:numPr>
          <w:ilvl w:val="0"/>
          <w:numId w:val="42"/>
        </w:numPr>
        <w:spacing w:after="0"/>
        <w:ind w:left="360"/>
        <w:rPr>
          <w:bCs/>
          <w:szCs w:val="22"/>
        </w:rPr>
      </w:pPr>
      <w:r w:rsidRPr="009E3494">
        <w:rPr>
          <w:bCs/>
          <w:szCs w:val="22"/>
        </w:rPr>
        <w:t>Address increasing costs of prescription drug costs in excess medical inflation.</w:t>
      </w:r>
    </w:p>
    <w:p w14:paraId="7136AA5D" w14:textId="77777777" w:rsidR="008D1FD4" w:rsidRPr="009E3494" w:rsidRDefault="008D1FD4" w:rsidP="00DF36FF">
      <w:pPr>
        <w:numPr>
          <w:ilvl w:val="0"/>
          <w:numId w:val="42"/>
        </w:numPr>
        <w:spacing w:after="0"/>
        <w:ind w:left="360"/>
        <w:rPr>
          <w:bCs/>
          <w:szCs w:val="22"/>
        </w:rPr>
      </w:pPr>
      <w:r w:rsidRPr="009E3494">
        <w:rPr>
          <w:bCs/>
          <w:szCs w:val="22"/>
        </w:rPr>
        <w:t xml:space="preserve">Develop an approach to managing the growth of long-term care costs, especially in light of the aging population. </w:t>
      </w:r>
    </w:p>
    <w:p w14:paraId="5932A3D3" w14:textId="77777777" w:rsidR="008D1FD4" w:rsidRDefault="008D1FD4" w:rsidP="00DF36FF">
      <w:pPr>
        <w:numPr>
          <w:ilvl w:val="0"/>
          <w:numId w:val="42"/>
        </w:numPr>
        <w:spacing w:after="0"/>
        <w:ind w:left="360"/>
        <w:rPr>
          <w:bCs/>
          <w:szCs w:val="22"/>
        </w:rPr>
      </w:pPr>
      <w:r w:rsidRPr="009E3494">
        <w:rPr>
          <w:bCs/>
          <w:szCs w:val="22"/>
        </w:rPr>
        <w:t>Address workforce shortages, particularly in the areas of primary care and mental health practitioners.</w:t>
      </w:r>
    </w:p>
    <w:p w14:paraId="06C3C12E" w14:textId="77777777" w:rsidR="008D1FD4" w:rsidRPr="009E3494" w:rsidRDefault="008D1FD4" w:rsidP="00DF36FF">
      <w:pPr>
        <w:numPr>
          <w:ilvl w:val="0"/>
          <w:numId w:val="42"/>
        </w:numPr>
        <w:spacing w:after="0"/>
        <w:ind w:left="360"/>
        <w:rPr>
          <w:bCs/>
          <w:szCs w:val="22"/>
        </w:rPr>
      </w:pPr>
      <w:r w:rsidRPr="009E3494">
        <w:rPr>
          <w:bCs/>
          <w:szCs w:val="22"/>
        </w:rPr>
        <w:t xml:space="preserve">Identify ways to capture the savings from care delivery and payment modifications back into the health care system. </w:t>
      </w:r>
    </w:p>
    <w:p w14:paraId="1A2226B1" w14:textId="77777777" w:rsidR="00DF36FF" w:rsidRPr="00DF36FF" w:rsidRDefault="00DF36FF" w:rsidP="00DF36FF"/>
    <w:sectPr w:rsidR="00DF36FF" w:rsidRPr="00DF36FF" w:rsidSect="00D34C4B">
      <w:headerReference w:type="even" r:id="rId11"/>
      <w:headerReference w:type="default" r:id="rId12"/>
      <w:footerReference w:type="default" r:id="rId13"/>
      <w:headerReference w:type="first" r:id="rId14"/>
      <w:footerReference w:type="first" r:id="rId15"/>
      <w:pgSz w:w="12240" w:h="15840" w:code="1"/>
      <w:pgMar w:top="1296" w:right="1008" w:bottom="1008" w:left="1008"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27C7F" w14:textId="77777777" w:rsidR="00EF4D66" w:rsidRDefault="00EF4D66" w:rsidP="003C1BA8">
      <w:r>
        <w:separator/>
      </w:r>
    </w:p>
  </w:endnote>
  <w:endnote w:type="continuationSeparator" w:id="0">
    <w:p w14:paraId="19F8A9F9" w14:textId="77777777" w:rsidR="00EF4D66" w:rsidRDefault="00EF4D66"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58818"/>
      <w:docPartObj>
        <w:docPartGallery w:val="Page Numbers (Bottom of Page)"/>
        <w:docPartUnique/>
      </w:docPartObj>
    </w:sdtPr>
    <w:sdtEndPr>
      <w:rPr>
        <w:color w:val="7F7F7F" w:themeColor="background1" w:themeShade="7F"/>
        <w:spacing w:val="60"/>
        <w:sz w:val="20"/>
        <w:szCs w:val="20"/>
      </w:rPr>
    </w:sdtEndPr>
    <w:sdtContent>
      <w:p w14:paraId="7AFB5A24" w14:textId="73A606E1" w:rsidR="001C3401" w:rsidRDefault="001C3401" w:rsidP="00377973">
        <w:pPr>
          <w:pStyle w:val="Footer"/>
          <w:pBdr>
            <w:top w:val="single" w:sz="4" w:space="1" w:color="D9D9D9" w:themeColor="background1" w:themeShade="D9"/>
          </w:pBdr>
          <w:jc w:val="right"/>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7C5772" w:rsidRPr="007C5772">
          <w:rPr>
            <w:b/>
            <w:bCs/>
            <w:noProof/>
            <w:sz w:val="20"/>
            <w:szCs w:val="20"/>
          </w:rPr>
          <w:t>7</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17BE0C58" w14:textId="77777777" w:rsidR="001C3401" w:rsidRDefault="001C34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C4D0" w14:textId="77777777" w:rsidR="001C3401" w:rsidRDefault="001C3401" w:rsidP="00032826">
    <w:pPr>
      <w:pStyle w:val="Footer"/>
      <w:tabs>
        <w:tab w:val="clear" w:pos="9360"/>
        <w:tab w:val="left" w:pos="8280"/>
        <w:tab w:val="right" w:pos="10800"/>
      </w:tabs>
    </w:pPr>
    <w:r>
      <w:tab/>
    </w:r>
    <w:r>
      <w:rPr>
        <w:noProof/>
      </w:rPr>
      <mc:AlternateContent>
        <mc:Choice Requires="wpg">
          <w:drawing>
            <wp:inline distT="0" distB="0" distL="0" distR="0" wp14:anchorId="4BD2DBD3" wp14:editId="734813DA">
              <wp:extent cx="6899910" cy="802612"/>
              <wp:effectExtent l="0" t="0" r="15240" b="0"/>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02612"/>
                        <a:chOff x="0" y="0"/>
                        <a:chExt cx="6899910" cy="802612"/>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0765"/>
                          <a:ext cx="3493769" cy="612774"/>
                        </a:xfrm>
                        <a:prstGeom prst="rect">
                          <a:avLst/>
                        </a:prstGeom>
                        <a:solidFill>
                          <a:srgbClr val="FFFFFF"/>
                        </a:solidFill>
                        <a:ln w="9525">
                          <a:noFill/>
                          <a:miter lim="800000"/>
                          <a:headEnd/>
                          <a:tailEnd/>
                        </a:ln>
                      </wps:spPr>
                      <wps:txbx>
                        <w:txbxContent>
                          <w:p w14:paraId="39C19DB2" w14:textId="77777777" w:rsidR="001C3401" w:rsidRDefault="001C3401" w:rsidP="007A7AC2">
                            <w:pPr>
                              <w:spacing w:after="0"/>
                            </w:pPr>
                            <w:r w:rsidRPr="00032826">
                              <w:rPr>
                                <w:b/>
                              </w:rPr>
                              <w:t>Health Care Financing Task Force</w:t>
                            </w:r>
                            <w:r>
                              <w:br/>
                              <w:t>Information</w:t>
                            </w:r>
                            <w:r w:rsidRPr="00786916">
                              <w:t>:</w:t>
                            </w:r>
                            <w:r>
                              <w:t xml:space="preserve"> www.</w:t>
                            </w:r>
                            <w:r w:rsidRPr="006406F9">
                              <w:t>mn.gov/dhs/hcftf</w:t>
                            </w:r>
                            <w:r w:rsidRPr="002603D7">
                              <w:rPr>
                                <w:noProof/>
                              </w:rPr>
                              <w:t xml:space="preserve"> </w:t>
                            </w:r>
                          </w:p>
                          <w:p w14:paraId="53CB87B6" w14:textId="77777777" w:rsidR="001C3401" w:rsidRDefault="001C3401"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401085" y="80617"/>
                          <a:ext cx="1544955" cy="721995"/>
                        </a:xfrm>
                        <a:prstGeom prst="rect">
                          <a:avLst/>
                        </a:prstGeom>
                        <a:noFill/>
                        <a:extLst/>
                      </pic:spPr>
                    </pic:pic>
                  </wpg:wgp>
                </a:graphicData>
              </a:graphic>
            </wp:inline>
          </w:drawing>
        </mc:Choice>
        <mc:Fallback>
          <w:pict>
            <v:group w14:anchorId="4BD2DBD3" id="Group 1" o:spid="_x0000_s1026" alt="Title: Task Force - Description: Health Care Financing Task Force contact information" style="width:543.3pt;height:63.2pt;mso-position-horizontal-relative:char;mso-position-vertical-relative:line" coordsize="68999,8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Jg1ywQAAMoLAAAOAAAAZHJzL2Uyb0RvYy54bWy8Vttu4zYQfS/QfyD0&#10;XMeSIseWEGeRdeLdAOk2bdK3vNAUJRGhSJakI6dF/71DUpKdS7fbFGgAK7zODM+cuZx+2LUcPVJt&#10;mBTLKDmKI0QFkSUT9TL69W49WUTIWCxKzKWgy+iJmujD2fffnXaqoKlsJC+pRiBEmKJTy6ixVhXT&#10;qSENbbE5kooK2KykbrGFqa6npcYdSG/5NI3jk2kndam0JNQYWL0Im9GZl19VlNifqspQi/gyAtus&#10;/2r/3bjv9OwUF7XGqmGkNwO/w4oWMwFKR1EX2GK01eyVqJYRLY2s7BGR7VRWFSPUvwFek8QvXvNJ&#10;y63yb6mLrlYjTADtC5zeLZZ8ebzRiJXguwgJ3IKLvFYE05IaAlB9ppjbBq2wpmjNBBYEgEZ32Dyg&#10;tdSEIiKFxcQiJoKfgAqANLMchO2POag7VReg8ZNWt+pG9wt1mDn0dpVu3X/ABe28k55GJ9GdRQQW&#10;TxZ5nifgSwJ7izg9SdLgRdKAq19dI83l1y9OB7VTZ91oTKeAkGaPuflvmN82WFHvSuMQ6DFPk9mA&#10;+q3VmNWNRSspBNBWauR2PUb+ykr0iJnCAHjvgsvzfXwwLpQ29hOVLXKDZcSZcDbiAj9eGwuq4ehw&#10;xC1z4b5GclauGed+4gKVrrhGjxhCbFMnXgDftj/KMqzNZ3E8KPZx7Y572QeSQJOTDj4YnudH9onT&#10;oPkXWgFNwf9BwSgo6MCEUGETB5eXBKfdtQqsHC/G3rKvXuzPu6vUJ49/c3m84TVDTIyXWyakfku7&#10;3Q0mV+H8gEB4t4NgI8sn73gPDTDSRdH/Qs35QM07F3of5Q75QHPagcEugJHdwfLoEnUtyYNBQq4a&#10;LGp6rrXsGopLCJ3wzIOr4RWOyGjTAVUgVeCtlR6kF1kgTdITCBOI9iSL5zAEJ4N/+qg+zvLj+Uke&#10;0gHkgvk861kwiBkY3JNcQ3B5NX9D8gNSAtd1vRnJvfZ/vfRnx7hA3TLKZ+nMSxbShYc3s2UW6htn&#10;rctV7i9Y72C5FKU/YjHjYfx2ENjdZgcH92RAWoY6BnUXBo3Uv0eogxq2jMxvW0jTEeJXAlDPkyxz&#10;Rc9Pstk8hYk+3Nkc7kBiB1HLyEYoDFfWF0qHtlHn4J0180lhb0lPV89KxUgBv75IwehVwvznYg63&#10;7NbZHxqC9ptktFg/bNUE6qnClm0YZ/bJ9wbgC2eUeLxhxCVMNznMvelAcNh3aiHhwlJf9X4u7r/Q&#10;7v6qxTU19zdYWwGOvJa1NPcXn2/dz89Qx6A4WqDjD+gYSiBpjpSox/rnjnG45Nw+6A/WQGpl5EXE&#10;GAXkHKLl+fGpmz57yoYzNaRhN+5BA5+9aA7ewD00HheSbFvIm6GT0pQDflKYhikDRClou6HlMtJX&#10;Zci58EYoC0Pw+e7mj3RxHsd5+nGymsWrCcTn5eQ8z+aTeXw5z+JskayS1Z8uKJKs2BoK78X8QrHe&#10;Vlh9Ze2brUzf9IUmyTdbIe8PdQVM85l/MBEiyUHiqWs1taRxw5DeSV/ZzLDhod2j6YD+psQEwZXE&#10;i5CaFvFJMg+xDTb4RiWZZVk+g23XqMzTJM996gLT3pmZDtJKeCdwytse+gE/BON9UPqG0UPSN7eu&#10;Iz2c+1P7Fvzs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lQRCvdAAAABgEA&#10;AA8AAABkcnMvZG93bnJldi54bWxMj0FrwkAQhe+F/odlCr3VTawNkmYjIm1PUqgKpbcxOybB7GzI&#10;rkn896696GV4wxve+yZbjKYRPXWutqwgnkQgiAuray4V7LafL3MQziNrbCyTgjM5WOSPDxmm2g78&#10;Q/3GlyKEsEtRQeV9m0rpiooMuoltiYN3sJ1BH9aulLrDIYSbRk6jKJEGaw4NFba0qqg4bk5GwdeA&#10;w/I1/ujXx8Pq/Ld9+/5dx6TU89O4fAfhafS3Y7jiB3TIA9Penlg70SgIj/j/efWieZKA2Ac1TWYg&#10;80ze4+cXAAAA//8DAFBLAwQKAAAAAAAAACEAdq66D/cXAAD3FwAAFAAAAGRycy9tZWRpYS9pbWFn&#10;ZTEucG5niVBORw0KGgoAAAANSUhEUgAAASkAAACLCAYAAAA9Om/TAAAAGXRFWHRTb2Z0d2FyZQBB&#10;ZG9iZSBJbWFnZVJlYWR5ccllPAAAF5lJREFUeNrsXdt14zgSre6df2ojoCYCeiOgOwJ5/vaPngjk&#10;iYCaCOSOgO4I5I6AcgRSRyA5AsoReM0xsCrD4AsvAlTdc3j8EEUWXhdVhUIBgEAgEAiTRvx2Ld+u&#10;8u16Zdfu7Vq/XQlVD4FAGAvR21UgYmq6SkZkBAKB4FR7qnoQFL8q0qoIBDV8oSpQQq0dXQ/8zunt&#10;mr9dL4GVNWU/Z2/XFfq/+HcbtsLfe1YfNZ6oOxGIpMxrUUfF7z68XX96WJ45Ixz+cwgBmcIW/Twx&#10;ItsHSOoEIqnRUTvJ7zW+P3Mw8FJENCLh7NnPK/R5G2EAI+Uj+v1ZUa4EvW/OrlkHMXLC2iLieqZu&#10;SCA0I4f+vijZtbAo21pBngMj3prYIk80u5TJtIaPq6ZY5oLdQ74+AkHARpOkcouDW1WmIoB6r8ko&#10;Y7LuGkgr84RoCYRRUWqS1NrC4M0lA9cnDc8GIibzWlL2kmlZFPpBIJJSuEpDWtOaaRA4zEFHtk3g&#10;7RIzTUrUdHdEWAQiKTckFbHBthOIqRC0oALGI0+fsGB1UQlEnFEXJkwduo7zoWSQCsQjIyaMA5HU&#10;J4gaFq9DcroTJgkdBzW/+mhNmUA4JfRzDI9phvoOro3K6pVAmAQS0HNQH6B9dS9in1fCjD/En1KB&#10;X6uOvkLUUHkoBq0OEoL2cagSAL+yFu3MxIDRMUUXF9qusWRiyImsCKFB1w/FiacPOamaHpmmfJc+&#10;KEUTm8iKEAwK0CeoV6YZ4QFRCH6R1ICmpyrbjpr5E+ETWRGC6ayvhq4YPvucDgbICUPVHCXHcT+y&#10;onoieAfV5fym1bODAbPOtNZXkZbQy9y3NbEQCKOYT22EYHMVTWWDMWkH/RAJ9bsBimInjAzdjcRj&#10;bOQdGg1PGsFwxKiebU86BEIrXsGOJmXTtBpKrAQ9TZub7/XCA0WvE4I39VyYVxHTjvoGnG5ImzJq&#10;ApJWRXAGFd+ODyZfBGoR8SZCIC4ZeGIgrYrgBLqZDoYGdZpAAvqrkWuglT5Tk9uSqoNgE6+WL9Nm&#10;QU1QlSHZdkRU2lrVAWmoVJcEKxqJbZKqCcXU8vXQMwCJqOyjrrsNamsypQlGsXBAUiZ9U6kl+Urq&#10;CtrI0ARC5h/BGHJwQ1KvhrQpm/KSBmBGM+fm34Y01OH4SlXwCXOH77oNTF7CcPyC9/MEH9+uG3g/&#10;P5Ai1QlasLmyZ2OlbweXp0mJ6YAPcM5f7rOmwlf/KqAwBUIgJPVqoLOGtAqpC7xy1uXv81VbwZk1&#10;aN8kQQmVY5LKNQftpZDU0LL6nFoFh4wQURG80kxMr6ItPZbNJCKNySP1mKgOEM4J0oQLJimdjb4F&#10;2I/n8gE65fT50FO8jYmIitC704xBUqp+qQOEESYxZpuUAfQ5IirC4M7i+lI5qSVxJNvYPhOdFM4V&#10;hBFESURF8JqgVB3USwgrMn4MU68MtA8SURFaO0coJOWKVMf2S5UwnRAKIiqCkU4xBkmtB8odQ1ix&#10;XDrQCQlZTKRPEi4YhaQzjEFSpaLcvpKoSYTsTyOiMoAvF05Qt/C+p+oPYVCMgePbtUfXSfh89nZd&#10;w/v+r/kIsv0+Qp3UMU5bTbnrfXMvgRLVlslf99MfpFNcFnjmAFnepFe6vDD5dBcGppASue6bB6DI&#10;9ItDBu2J3YiQxjf5cgjbj2YSfAsNbUq+EPDYorYG3xEhOc3N3jSJUMI+eb+lNC8TBk6z2zYjlURI&#10;o62WmcrVfokWAGECtv2up20fGkm51Pxs74NTLUvOrgN7xlTB81FRaMIEUQzwq6wDISe+5SM1/Myx&#10;9vLp+KEuCXwSpZzpE1WTbQ8WW8SA/UKFoA2akpcfv9QVg2UjijsG8j8NsQr4ih/loJ+Yw7GvHb8E&#10;91tiCokJlyNNKW2RfwNmt7905W6ysU1GJzi1oH5NmIIfasiMk4L7+CN8TtthoEl1APOxUF3amcmY&#10;Hd36zi+0fy8vVJOcpB8qVyA3V9tOTCzr20jL0qVNHSy0E5HUcGzIPxUuFgP9UDK4yHWu27lM55Ra&#10;S3x5NrUpExulL5mksH+KAj0DazgeoauzEuVCk9L1J5g2TcsBpqQJbSonkjJmLu9o6F+eCuxzbnPR&#10;L2Erd5RtbcqEP418MuewmZyqIhwzz0THDYGkcgcylR3alKo2aNJUDX2FK9XU+snsuzAz79JJKh1o&#10;UuYeyB5ihoAFfI6wr/uu6sGmZPYFgALMrXTEgZDUxgFJdWlTqrO3ye1Hh0D7qmnyXwOt9nmtLpv0&#10;T6SBkFTpiKTiHiQx1OSa+pHwTRiS5WFooKppa4JgEDvD9riL8/fKgEiqz+xfelC/SUB91VaYCvfL&#10;bogW/AFf4TKdlK0kkvqkTVWG/EK2NNUQEsOpZLlQ7Re0t88DYPXW9ApPfqEklWjUSdGTJGya05Xn&#10;g9OFWyAGcqJ7A5uOwvTCSGrXw48hbpepWp61bHmeC59fDn6GJpTgxne5hnBXPicDPlvYWtmx7Zcq&#10;PCOpvo7nBdJU+uTewullEqHtXOyNzAInqZ1G/61AL5aNoInCgd1tc/9eHihJySYKrhmW0O4YPjBi&#10;c5399NCh2fls7ulo3DlQJProWpTtLRGl5yS18UCeQjBJEscEpGLW5iP5rWLHJMUj0YPOO/VboHKv&#10;hJ+2UB/SeW3p2UdD8t2M3BZ3TIZ6AD6/Xb+g+UDPaw/6zhW7cB2eGmSu75ux3x9A/4DOueOyvrAx&#10;8sDa6W/Sb6alRWF12caVeiafTn0mPU2pkE/KMaH5pjDOAkvQ2tRX0qI6NRVCN34xLWrsPmETJjTW&#10;o0KfejRUPzOmTREmpEWpznwuTzjJwK+QiLE0qRouctOXYMb53jcbqck4p2C1qdA0KZdaVAg4UhX8&#10;3+ydMd+STVwz31WkKettDw1+BWZ9eA+sjm6ou9gDjvtwCZ+PLDep6YWsSY1x5Hyq0H/7rBYXExs/&#10;2ghpde9uQna1KQ3oBIShuFWs/1oTmbPf50yj2jKN56mHWX4P55XCLvlq/Gm43C9wXuWrA3J/Ulcw&#10;D25Tu4av0eam5bsUTUq17tMO31HtE8P7FmNGTgcP+giWiVIuWwJPP5FPhKRyIikvr0UPjcilPDb2&#10;pPIAYMo3ZRjliBVro/NlF0RSMdNClgGQVB/tJYHhOaF0MjqY7vNcI1wTrZhXUcdK4uVrIKfPJJWx&#10;9qogLId4NbCMO/DXPPXRdTJZ5D1VcZu+MN/O27NBUrqrPhFrq9CIaajJJ9Os1pYJK7E0piiNy0RY&#10;38ag81XT0+n0VYeWVgRCYDoae8xILmfPwVkhdEjMtDY1tnUyKSQe2M8+JrvzhaSa/DM8JUvS4Fv0&#10;/Yos9mVfZNpYLOtFobCk7o5JUsVESCqTaEZdSeZCISkbZtCQwNvKgUx8pZKOvzJgao0dIev70Utj&#10;kFSmWK5QSMqGGTQkfGEBn3OFmZYpAsqDro0F+LFUOrZj1jeSykD9hJZQSMqGGTQkrU7aUM+mQTFT&#10;EzD1bJBUHDBJiX6V3cDyhERS2Ygk5arvkMmniQP4sRnS55U9lyQlnhSjkuA/JJIybQatwb9g2who&#10;lU8ZPqzqyTQHH6O6XZFUoWjihUpSpjUXlVNilg4sCe9X+XzNJ8Vz3mxHlmNm+HnHQCeN2kdyi/5e&#10;wXs2zqljrNxLdb//z9v13UE98zF2TSQ1DLzCppZOItR0xCuhU3+/EI3+diKTYxseRybkIOGTnWx6&#10;17uNY5RsyyeavDrmR2jmnkmTb+j2Kpfwxf8bjCZ17YmpV2Nu+HlPhp/n4uy4O2HWvQQzz4Y2Nfe4&#10;jFsmn5ehCD5m5vSJpAgfzYAHg8+tn3XUMIfuGszRNrJRIYr6eybOq1uBv7n5t6yc9dj7QV2+G/Wq&#10;hi9pJEyeEGxDhTd9ms2i5fkm2qQ0aPoeBj5Lx9Q0tcLmq7nHNxwXPhKCj+belUda1Az8xpUlLVb2&#10;96NnZd+2yO2jyZcqls0FnplWe+1jJ/eNpHhD+rIK5rMfoQY/HpxfJ8PlxX/7tjK5tUjWbSavC+xH&#10;qs+6vb2Ll/KNpK5HmklCJanaf/ANXQ+KA+ILu/4IiKSOGhrvo0I/SB32pYcR6nPviPCDJyleQU8e&#10;yJJAeFAh98ee5q6ulpYZHgBHDU1KhQR0Tb75ALIYYwV178h0ngRJ+TJj++6PMkVSxx6TBmgOnCWc&#10;T9A1Vb/PGs86KRCVK5PvfqS+80SaVP/Z5uiZVhcSXhRI3kV934w46E1pUzNNk++qZ1uMGQKwJ5Jq&#10;BznNzartJu7fStrHF0011iTaJ4Xv3Vgu78yDvuNdv/eJpOYaJgtpUuom38tIMj0a6i862uBQ02rq&#10;JHW0NCFNjqTI3HOnSe17dtoa1xoy1RHbdYT4yaCZidtH1an/oNBHkwn3p62PVoRPJMUHwbMHskQQ&#10;puO8xhAHd9fg3hscZN8Nm/JXLWRbawJ19DSOSr9u0CKHEtWd5fYbU4s5EUl1q7q++KNC1aKGalNd&#10;2szWkCZlAzcS07GeXEo470Xjq3j3LYT8oPDeqR4D9cvH/u8TSV2BfiyO7yTlKvaqbz0ee3TaI5pE&#10;fDnxdoE03ROTM4Hz1o5Hpg3UieP+fLv+aiHuoQ70+r0rB26PsXD0zYrwhaSigRpAqCTlqvH3CoTU&#10;BOzgvvWkfcT0MRGc47BqGf9g5LVkmlXZ0aYqJp8ts8wHkgrdkrBmh9s4k04VOkdiu056J4PsZJIC&#10;1E5EiQ2WwUQWBDHzQ4zKy/tPTU5tR7rvBK02VmjLCuTHkzXlZBrrXMah4Jk/CA0db+GJPK8TI6kS&#10;zucYqshTgJlTVEyQVAmfD7bg6X2iBjJuIplEMjhVTpXJ2ff5YbZRB9G7PqxDpe/QWXwClo4H8ZCZ&#10;eiokFWnIExua7W2mDy4kRHxgfStt0C4xoSwMyrLW6FO+kJQ3sVK++KR8ctRdT3QieAH1hYk6LAQH&#10;Pq7As4A/5ku5F/xytW+Fhz7wOK1bwf/D//4J5mL0bjQ0kbF9Ut4dFuLb3j0fKmgKJNVUhpNkYPfF&#10;SmifR/ArU8QVGuAnVgcvSFaecvgHfFydw6T1oNl3V0yO30E93m9skjqh+iRIfB4+oJqAuXfoae4N&#10;RSLUT+WAqLreGTF/EPZFbSTmSyF8R1YPQ3xHFXtPBt1xU8uB/WTMOCzfFrG8QekJSdnyR1Xs2S46&#10;X9zg51iCmTzaMtKwFT+VSSaNtMOXggcYP45rJ6n7pnpoc6AfmL9p6AJP7ulk1tZ/iKQ8Jakc7Dp2&#10;xyrDoUFDNKXdcO3F1IpQJCGLLjJcNmhSsqPKo5Z6EB3oJo47LwIiKSCSaiapnQdy7MDuQZMl2F3a&#10;jQaaq2CYqCrWuWMN+fOG5yY95Ol7qGcO7SEV655m3NBJOJRYKSKphkYce+k1Bnen4haWyGoNbo9N&#10;ilrMI+6viXvUe9bynHIAWRwE8ol6mPRLR4M+NJIqiZb8I6kE3B/h3dfxasufZgoLaD9GvEJtjK+q&#10;w/+zUJCjKU5qITG7XBwtPrRdXCxGEEkFSlIAdlf2uqKWI02CVZHdtO8jM2AyH0DPEb/2mAzKnnJF&#10;RFJnfPGIpHw4hKGWYazA0iOoBxOqyl3X98mjejwZ6gN93q9T3yqYQf/YI1vt0hfX8J7u5huR1MfZ&#10;j4LHCAR/UBPlX1QNBAKBQCAQCCHjX1QFBAJhIGrH/n/h3c9m/UyCL1TfBA9Rr7qt4D2bwJ795IOh&#10;Xvmbs9+3cD55t0a9WnnNfj/CuAdt2kIdSnEL54WBupz1BuqfDmXYwDnH/I2rd+Mo37ZlaR7wyDdX&#10;8kpzFRQ3FjL4uESO43x40rOIuMUIYjiHB6SsvnGfxMv4uaQf+5KXyQbawitchlO0tYF1ouraY5ZL&#10;BOMdaTHxwbNuIPEFG1Q+BOFNpZ5LxQEyZZJq2xHhuqx847ftbV7/QJZPqunInvp/sjPHanX7d8fq&#10;5hhoilv5iUyMLWlU2rgGf06xTkCeCrhtYA7NdpH0HOhz4e86ZOcLM/1WLbLYIJHajP43vMdRPfes&#10;N/xZn32YSRNJ4eRgIu5A/2jssTucrZQi9ZFKD3A+raQPTJPZ2gNNbmlAhiHxcnM2EPk179C8UjR4&#10;RS0E31cwTYEHVW5YuWqL4cgucU8h17S36DviFiSs6W3QO44wfNfBipXjB3z0y+H9lFv2bDGKXzyM&#10;Q7alCd9fSNwdYp3i/PK83gr02RqVd89+Xze4nfg9n7TlnAnGfS2RUPAK5LlmFuw7OIdPiXw13H+T&#10;Cd85wDmBfcl+iu8s0PcX6Pkb9P8YzXD4/lxikvEKXqPOyp/VlUqlK/dzKlG9MyRPwcqUCP/jvy+F&#10;sq/RZ4mkTnJUL7xz7ND9TXUcC+2ykBBNieopanivKHMuyJC1TBabhn6RCwNh3UE6fXKFq5BU32vZ&#10;w1fURFJD0/k07S2tUF+PoH0P5UJCUuKWJLFeIskzZHW6a2mDthxdazRGZZ/H4iBM0c258FmBCpgL&#10;A1FMNMZ9NAvks6oknbFkny8FgSNW6Ex4Ryx03g1SaTEzcxkKoYELdn+C7OoY+h0EMZSkcjQ78s5T&#10;INkOqH52qAPwe5fo942kE64RyeTo+9zcWCLSwHXM8zLx94rtgmXm7YrfuxRkjhG54c/jloGWNfSd&#10;VGineCSS2qF+Kx5htYPPqXfE9+YSshBJireDqKV0aaptmROWkjJkkufL6qqEz0kG0wY/n1inmYR4&#10;MtTfxToUN6THEi0zkmnlBWrEA9KmsBYFDQ5L8X+iZpLDx133qWTA71AlZKhSdvBxQyj/XyxRRyPJ&#10;/5rkXqKZJTVIUpxQsOZWCTOluKE6Fjr9GpVFvFeWeyuFz1kNZMeE7YRn4XaJBC2mEiYOUY60YeC3&#10;1eFGMhB3guxdK0alhBBypOGZIKmFhFRkM34pPOvQ4uhuel5bAr4mN0EmIesS+iXXA2hPVSOSUiWp&#10;P7FON9B8Uk6f1Mlpw33/WAW/NTjmVszHcod8VUODto4ajuk5NG9wvGeyHZmcfyPZX9B9e/Qsmezf&#10;0ex+Z8Afc4XqKmH+qRvBX9CEZyRv/ftfqDPKNl6fFOv11EP+254yq+BG4hR/ZO9OFd67Ze0vOt5t&#10;LJKcetThaUAbnSR9tgsZq68f7FoLfXcmjL9jzzoUx9cde9a1cF9T+8x6lrtJphMb01eCT7d+/+pr&#10;i/f+yIS9a1k9sL3KI3Mk/kQDd9Uyc3ftgk/YLL4C/Z33fOXzKCwuDBkwM/Z97v/Zo/+5xNzis48t&#10;7WIrA8ZJWPyJ4RyIaKpMmOi5RfJguBwxe+YemXa3Qjm3Qn1+QxPDFuSrpr+Ev1/g49FgWHFpwqNQ&#10;xwukHe0lE9U39p0tWmi4Qv0Dl2v2tWVV5Z59QaZFzXsMuLmBhr9HRJXBOYPjMyKAK1RJmUAQR4H9&#10;55Ly/TFwgMwkBPWANKcX1vCc5PHqx7LFVJwLs8kt0vb6Qic/1BPrLPfIFxDD8GC9WcesfSXIecv+&#10;/2KJpB6FAXIUtI+t5vOfhWfw8twYLscK9eEV6r8cD6ysJ1TWClkcK+i/cnovkPu2Q8t9QPfPEAFx&#10;SwJbNSdmFt8zme5YHXIZTwLBH3lHLAQbGyS+qBjZnnhFYYMcdbHgoE2RxoLT5m4EH4zo1AWQL3tG&#10;6DlrQb4COc8L+BxcWQq2+xrJvUPvyRvU7ArJWMB51ewA8nTAOBHdQZCnFMqBl4hjocwH+HhUeiWx&#10;/RP0nR27T9YuFarjGJV7IynnDsmcoe8u0QIGPoAhQvc0re5FyM/B62+H6gW3SdbDJ9U3mHMN3amJ&#10;Zb4r2Qk0Mn9WJPER7Tp8Urngh+vySTVlP62EyS9puA+Xtc/7cmjOFy+rK9l72+qH99ek5fN/ZP7C&#10;bsAbBeOG38X7EqYx8HsixKT4+9j25n/ze8S/xXdy384JqaUx0oj2wgycoNnlSTJAroTPUvQ3/+5T&#10;g2n4S6KtnCTqctM7sawlfIxHe5Ko9nM0A10h7fJZIhMu+1Go0wjNYr9a2uW5RWb8rgSp5bgNX5Dc&#10;XfXS1E7ie34ZNpfmwgxtenNsW/8z+Y45a6OtZAzIZLFR1j7avCgbbgNZH8Eynwy3P2EgfEmXTCB4&#10;j69UBQQCgUAQfQsmDhwgEC4C/xNgANf7ljBhzzJSAAAAAElFTkSuQmCCUEsBAi0AFAAGAAgAAAAh&#10;ALGCZ7YKAQAAEwIAABMAAAAAAAAAAAAAAAAAAAAAAFtDb250ZW50X1R5cGVzXS54bWxQSwECLQAU&#10;AAYACAAAACEAOP0h/9YAAACUAQAACwAAAAAAAAAAAAAAAAA7AQAAX3JlbHMvLnJlbHNQSwECLQAU&#10;AAYACAAAACEAzwCYNcsEAADKCwAADgAAAAAAAAAAAAAAAAA6AgAAZHJzL2Uyb0RvYy54bWxQSwEC&#10;LQAUAAYACAAAACEAqiYOvrwAAAAhAQAAGQAAAAAAAAAAAAAAAAAxBwAAZHJzL19yZWxzL2Uyb0Rv&#10;Yy54bWwucmVsc1BLAQItABQABgAIAAAAIQApUEQr3QAAAAYBAAAPAAAAAAAAAAAAAAAAACQIAABk&#10;cnMvZG93bnJldi54bWxQSwECLQAKAAAAAAAAACEAdq66D/cXAAD3FwAAFAAAAAAAAAAAAAAAAAAu&#10;CQAAZHJzL21lZGlhL2ltYWdlMS5wbmdQSwUGAAAAAAYABgB8AQAAVyE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0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9C19DB2" w14:textId="77777777" w:rsidR="001C3401" w:rsidRDefault="001C3401" w:rsidP="007A7AC2">
                      <w:pPr>
                        <w:spacing w:after="0"/>
                      </w:pPr>
                      <w:r w:rsidRPr="00032826">
                        <w:rPr>
                          <w:b/>
                        </w:rPr>
                        <w:t>Health Care Financing Task Force</w:t>
                      </w:r>
                      <w:r>
                        <w:br/>
                        <w:t>Information</w:t>
                      </w:r>
                      <w:r w:rsidRPr="00786916">
                        <w:t>:</w:t>
                      </w:r>
                      <w:r>
                        <w:t xml:space="preserve"> www.</w:t>
                      </w:r>
                      <w:r w:rsidRPr="006406F9">
                        <w:t>mn.gov/dhs/hcftf</w:t>
                      </w:r>
                      <w:r w:rsidRPr="002603D7">
                        <w:rPr>
                          <w:noProof/>
                        </w:rPr>
                        <w:t xml:space="preserve"> </w:t>
                      </w:r>
                    </w:p>
                    <w:p w14:paraId="53CB87B6" w14:textId="77777777" w:rsidR="001C3401" w:rsidRDefault="001C3401"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44010;top:806;width:15450;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B39FA" w14:textId="77777777" w:rsidR="00EF4D66" w:rsidRDefault="00EF4D66" w:rsidP="003C1BA8">
      <w:r>
        <w:separator/>
      </w:r>
    </w:p>
  </w:footnote>
  <w:footnote w:type="continuationSeparator" w:id="0">
    <w:p w14:paraId="6BCDA54F" w14:textId="77777777" w:rsidR="00EF4D66" w:rsidRDefault="00EF4D66"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EE810" w14:textId="77777777" w:rsidR="001C3401" w:rsidRDefault="00EF4D66">
    <w:pPr>
      <w:pStyle w:val="Header"/>
    </w:pPr>
    <w:r>
      <w:rPr>
        <w:noProof/>
      </w:rPr>
      <w:pict w14:anchorId="2A684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1187"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DAB4E" w14:textId="77777777" w:rsidR="001C3401" w:rsidRDefault="00EF4D66" w:rsidP="00813183">
    <w:pPr>
      <w:pStyle w:val="Title"/>
    </w:pPr>
    <w:r>
      <w:rPr>
        <w:noProof/>
      </w:rPr>
      <w:pict w14:anchorId="7CF16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1188"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C3401" w:rsidRPr="00833D3E">
      <w:rPr>
        <w:b/>
        <w:sz w:val="20"/>
        <w:szCs w:val="20"/>
      </w:rPr>
      <w:t xml:space="preserve">2015 Health Care Financing Task Force </w:t>
    </w:r>
    <w:r w:rsidR="001C3401">
      <w:rPr>
        <w:b/>
        <w:sz w:val="20"/>
        <w:szCs w:val="20"/>
      </w:rPr>
      <w:t>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783D" w14:textId="77777777" w:rsidR="001C3401" w:rsidRDefault="00EF4D66" w:rsidP="006406F9">
    <w:pPr>
      <w:pStyle w:val="Header"/>
      <w:tabs>
        <w:tab w:val="clear" w:pos="9360"/>
        <w:tab w:val="left" w:pos="5828"/>
      </w:tabs>
    </w:pPr>
    <w:r>
      <w:rPr>
        <w:noProof/>
      </w:rPr>
      <w:pict w14:anchorId="54214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1186"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C3401">
      <w:rPr>
        <w:noProof/>
      </w:rPr>
      <w:drawing>
        <wp:inline distT="0" distB="0" distL="0" distR="0" wp14:anchorId="1C1A28A7" wp14:editId="329651F4">
          <wp:extent cx="3381375" cy="771525"/>
          <wp:effectExtent l="0" t="0" r="9525" b="9525"/>
          <wp:docPr id="3" name="Picture 3" descr="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rsidR="001C34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662"/>
    <w:multiLevelType w:val="hybridMultilevel"/>
    <w:tmpl w:val="67F6D71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1BF3849"/>
    <w:multiLevelType w:val="hybridMultilevel"/>
    <w:tmpl w:val="22DC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304C"/>
    <w:multiLevelType w:val="hybridMultilevel"/>
    <w:tmpl w:val="0FE0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80D7F"/>
    <w:multiLevelType w:val="hybridMultilevel"/>
    <w:tmpl w:val="F43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2445E"/>
    <w:multiLevelType w:val="hybridMultilevel"/>
    <w:tmpl w:val="329CD8C8"/>
    <w:lvl w:ilvl="0" w:tplc="250C9CC0">
      <w:start w:val="1"/>
      <w:numFmt w:val="bullet"/>
      <w:lvlText w:val="•"/>
      <w:lvlJc w:val="left"/>
      <w:pPr>
        <w:tabs>
          <w:tab w:val="num" w:pos="720"/>
        </w:tabs>
        <w:ind w:left="720" w:hanging="360"/>
      </w:pPr>
      <w:rPr>
        <w:rFonts w:ascii="Arial" w:hAnsi="Arial" w:hint="default"/>
      </w:rPr>
    </w:lvl>
    <w:lvl w:ilvl="1" w:tplc="0F023B68">
      <w:start w:val="1"/>
      <w:numFmt w:val="bullet"/>
      <w:lvlText w:val="•"/>
      <w:lvlJc w:val="left"/>
      <w:pPr>
        <w:tabs>
          <w:tab w:val="num" w:pos="1440"/>
        </w:tabs>
        <w:ind w:left="1440" w:hanging="360"/>
      </w:pPr>
      <w:rPr>
        <w:rFonts w:ascii="Arial" w:hAnsi="Arial" w:hint="default"/>
      </w:rPr>
    </w:lvl>
    <w:lvl w:ilvl="2" w:tplc="919A52EE" w:tentative="1">
      <w:start w:val="1"/>
      <w:numFmt w:val="bullet"/>
      <w:lvlText w:val="•"/>
      <w:lvlJc w:val="left"/>
      <w:pPr>
        <w:tabs>
          <w:tab w:val="num" w:pos="2160"/>
        </w:tabs>
        <w:ind w:left="2160" w:hanging="360"/>
      </w:pPr>
      <w:rPr>
        <w:rFonts w:ascii="Arial" w:hAnsi="Arial" w:hint="default"/>
      </w:rPr>
    </w:lvl>
    <w:lvl w:ilvl="3" w:tplc="ED84979A" w:tentative="1">
      <w:start w:val="1"/>
      <w:numFmt w:val="bullet"/>
      <w:lvlText w:val="•"/>
      <w:lvlJc w:val="left"/>
      <w:pPr>
        <w:tabs>
          <w:tab w:val="num" w:pos="2880"/>
        </w:tabs>
        <w:ind w:left="2880" w:hanging="360"/>
      </w:pPr>
      <w:rPr>
        <w:rFonts w:ascii="Arial" w:hAnsi="Arial" w:hint="default"/>
      </w:rPr>
    </w:lvl>
    <w:lvl w:ilvl="4" w:tplc="9D321436" w:tentative="1">
      <w:start w:val="1"/>
      <w:numFmt w:val="bullet"/>
      <w:lvlText w:val="•"/>
      <w:lvlJc w:val="left"/>
      <w:pPr>
        <w:tabs>
          <w:tab w:val="num" w:pos="3600"/>
        </w:tabs>
        <w:ind w:left="3600" w:hanging="360"/>
      </w:pPr>
      <w:rPr>
        <w:rFonts w:ascii="Arial" w:hAnsi="Arial" w:hint="default"/>
      </w:rPr>
    </w:lvl>
    <w:lvl w:ilvl="5" w:tplc="D1009348" w:tentative="1">
      <w:start w:val="1"/>
      <w:numFmt w:val="bullet"/>
      <w:lvlText w:val="•"/>
      <w:lvlJc w:val="left"/>
      <w:pPr>
        <w:tabs>
          <w:tab w:val="num" w:pos="4320"/>
        </w:tabs>
        <w:ind w:left="4320" w:hanging="360"/>
      </w:pPr>
      <w:rPr>
        <w:rFonts w:ascii="Arial" w:hAnsi="Arial" w:hint="default"/>
      </w:rPr>
    </w:lvl>
    <w:lvl w:ilvl="6" w:tplc="DC6A540E" w:tentative="1">
      <w:start w:val="1"/>
      <w:numFmt w:val="bullet"/>
      <w:lvlText w:val="•"/>
      <w:lvlJc w:val="left"/>
      <w:pPr>
        <w:tabs>
          <w:tab w:val="num" w:pos="5040"/>
        </w:tabs>
        <w:ind w:left="5040" w:hanging="360"/>
      </w:pPr>
      <w:rPr>
        <w:rFonts w:ascii="Arial" w:hAnsi="Arial" w:hint="default"/>
      </w:rPr>
    </w:lvl>
    <w:lvl w:ilvl="7" w:tplc="FD5EA014" w:tentative="1">
      <w:start w:val="1"/>
      <w:numFmt w:val="bullet"/>
      <w:lvlText w:val="•"/>
      <w:lvlJc w:val="left"/>
      <w:pPr>
        <w:tabs>
          <w:tab w:val="num" w:pos="5760"/>
        </w:tabs>
        <w:ind w:left="5760" w:hanging="360"/>
      </w:pPr>
      <w:rPr>
        <w:rFonts w:ascii="Arial" w:hAnsi="Arial" w:hint="default"/>
      </w:rPr>
    </w:lvl>
    <w:lvl w:ilvl="8" w:tplc="A6C0C8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E242F0"/>
    <w:multiLevelType w:val="hybridMultilevel"/>
    <w:tmpl w:val="6454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B2335"/>
    <w:multiLevelType w:val="hybridMultilevel"/>
    <w:tmpl w:val="7A8E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57DB"/>
    <w:multiLevelType w:val="hybridMultilevel"/>
    <w:tmpl w:val="2EC496C6"/>
    <w:lvl w:ilvl="0" w:tplc="D0C84212">
      <w:start w:val="1"/>
      <w:numFmt w:val="upperRoman"/>
      <w:pStyle w:val="Heading"/>
      <w:lvlText w:val="%1."/>
      <w:lvlJc w:val="right"/>
      <w:pPr>
        <w:ind w:left="720" w:hanging="360"/>
      </w:pPr>
    </w:lvl>
    <w:lvl w:ilvl="1" w:tplc="EECA5398">
      <w:start w:val="1"/>
      <w:numFmt w:val="lowerLetter"/>
      <w:lvlText w:val="%2."/>
      <w:lvlJc w:val="left"/>
      <w:pPr>
        <w:ind w:left="1440" w:hanging="360"/>
      </w:pPr>
      <w:rPr>
        <w:b/>
      </w:rPr>
    </w:lvl>
    <w:lvl w:ilvl="2" w:tplc="3CB2CC82">
      <w:start w:val="1"/>
      <w:numFmt w:val="lowerRoman"/>
      <w:lvlText w:val="%3."/>
      <w:lvlJc w:val="right"/>
      <w:pPr>
        <w:ind w:left="2160" w:hanging="180"/>
      </w:pPr>
      <w:rPr>
        <w:b w:val="0"/>
      </w:rPr>
    </w:lvl>
    <w:lvl w:ilvl="3" w:tplc="97EE06E2">
      <w:start w:val="1"/>
      <w:numFmt w:val="decimal"/>
      <w:lvlText w:val="%4."/>
      <w:lvlJc w:val="left"/>
      <w:pPr>
        <w:ind w:left="2880" w:hanging="360"/>
      </w:pPr>
      <w:rPr>
        <w:b w:val="0"/>
        <w:i w:val="0"/>
      </w:rPr>
    </w:lvl>
    <w:lvl w:ilvl="4" w:tplc="8E06024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F4447"/>
    <w:multiLevelType w:val="hybridMultilevel"/>
    <w:tmpl w:val="4C5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736A4"/>
    <w:multiLevelType w:val="hybridMultilevel"/>
    <w:tmpl w:val="EDF0CC10"/>
    <w:lvl w:ilvl="0" w:tplc="4140C4EA">
      <w:start w:val="1"/>
      <w:numFmt w:val="bullet"/>
      <w:lvlText w:val="•"/>
      <w:lvlJc w:val="left"/>
      <w:pPr>
        <w:tabs>
          <w:tab w:val="num" w:pos="720"/>
        </w:tabs>
        <w:ind w:left="720" w:hanging="360"/>
      </w:pPr>
      <w:rPr>
        <w:rFonts w:ascii="Arial" w:hAnsi="Arial" w:hint="default"/>
      </w:rPr>
    </w:lvl>
    <w:lvl w:ilvl="1" w:tplc="DF22B158">
      <w:start w:val="1"/>
      <w:numFmt w:val="bullet"/>
      <w:lvlText w:val="•"/>
      <w:lvlJc w:val="left"/>
      <w:pPr>
        <w:tabs>
          <w:tab w:val="num" w:pos="1440"/>
        </w:tabs>
        <w:ind w:left="1440" w:hanging="360"/>
      </w:pPr>
      <w:rPr>
        <w:rFonts w:ascii="Arial" w:hAnsi="Arial" w:hint="default"/>
      </w:rPr>
    </w:lvl>
    <w:lvl w:ilvl="2" w:tplc="15DAC746" w:tentative="1">
      <w:start w:val="1"/>
      <w:numFmt w:val="bullet"/>
      <w:lvlText w:val="•"/>
      <w:lvlJc w:val="left"/>
      <w:pPr>
        <w:tabs>
          <w:tab w:val="num" w:pos="2160"/>
        </w:tabs>
        <w:ind w:left="2160" w:hanging="360"/>
      </w:pPr>
      <w:rPr>
        <w:rFonts w:ascii="Arial" w:hAnsi="Arial" w:hint="default"/>
      </w:rPr>
    </w:lvl>
    <w:lvl w:ilvl="3" w:tplc="511ADA74" w:tentative="1">
      <w:start w:val="1"/>
      <w:numFmt w:val="bullet"/>
      <w:lvlText w:val="•"/>
      <w:lvlJc w:val="left"/>
      <w:pPr>
        <w:tabs>
          <w:tab w:val="num" w:pos="2880"/>
        </w:tabs>
        <w:ind w:left="2880" w:hanging="360"/>
      </w:pPr>
      <w:rPr>
        <w:rFonts w:ascii="Arial" w:hAnsi="Arial" w:hint="default"/>
      </w:rPr>
    </w:lvl>
    <w:lvl w:ilvl="4" w:tplc="151AE084" w:tentative="1">
      <w:start w:val="1"/>
      <w:numFmt w:val="bullet"/>
      <w:lvlText w:val="•"/>
      <w:lvlJc w:val="left"/>
      <w:pPr>
        <w:tabs>
          <w:tab w:val="num" w:pos="3600"/>
        </w:tabs>
        <w:ind w:left="3600" w:hanging="360"/>
      </w:pPr>
      <w:rPr>
        <w:rFonts w:ascii="Arial" w:hAnsi="Arial" w:hint="default"/>
      </w:rPr>
    </w:lvl>
    <w:lvl w:ilvl="5" w:tplc="C31227D2" w:tentative="1">
      <w:start w:val="1"/>
      <w:numFmt w:val="bullet"/>
      <w:lvlText w:val="•"/>
      <w:lvlJc w:val="left"/>
      <w:pPr>
        <w:tabs>
          <w:tab w:val="num" w:pos="4320"/>
        </w:tabs>
        <w:ind w:left="4320" w:hanging="360"/>
      </w:pPr>
      <w:rPr>
        <w:rFonts w:ascii="Arial" w:hAnsi="Arial" w:hint="default"/>
      </w:rPr>
    </w:lvl>
    <w:lvl w:ilvl="6" w:tplc="EE7806E8" w:tentative="1">
      <w:start w:val="1"/>
      <w:numFmt w:val="bullet"/>
      <w:lvlText w:val="•"/>
      <w:lvlJc w:val="left"/>
      <w:pPr>
        <w:tabs>
          <w:tab w:val="num" w:pos="5040"/>
        </w:tabs>
        <w:ind w:left="5040" w:hanging="360"/>
      </w:pPr>
      <w:rPr>
        <w:rFonts w:ascii="Arial" w:hAnsi="Arial" w:hint="default"/>
      </w:rPr>
    </w:lvl>
    <w:lvl w:ilvl="7" w:tplc="573AC3B6" w:tentative="1">
      <w:start w:val="1"/>
      <w:numFmt w:val="bullet"/>
      <w:lvlText w:val="•"/>
      <w:lvlJc w:val="left"/>
      <w:pPr>
        <w:tabs>
          <w:tab w:val="num" w:pos="5760"/>
        </w:tabs>
        <w:ind w:left="5760" w:hanging="360"/>
      </w:pPr>
      <w:rPr>
        <w:rFonts w:ascii="Arial" w:hAnsi="Arial" w:hint="default"/>
      </w:rPr>
    </w:lvl>
    <w:lvl w:ilvl="8" w:tplc="CBB220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9D4971"/>
    <w:multiLevelType w:val="hybridMultilevel"/>
    <w:tmpl w:val="565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431CC"/>
    <w:multiLevelType w:val="hybridMultilevel"/>
    <w:tmpl w:val="2804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67839"/>
    <w:multiLevelType w:val="hybridMultilevel"/>
    <w:tmpl w:val="D0B2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F0709"/>
    <w:multiLevelType w:val="hybridMultilevel"/>
    <w:tmpl w:val="2878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9338B"/>
    <w:multiLevelType w:val="hybridMultilevel"/>
    <w:tmpl w:val="45A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30E2C"/>
    <w:multiLevelType w:val="hybridMultilevel"/>
    <w:tmpl w:val="A976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707DA"/>
    <w:multiLevelType w:val="hybridMultilevel"/>
    <w:tmpl w:val="B03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3398C"/>
    <w:multiLevelType w:val="hybridMultilevel"/>
    <w:tmpl w:val="BCAE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96CC3"/>
    <w:multiLevelType w:val="hybridMultilevel"/>
    <w:tmpl w:val="24C4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21B8F"/>
    <w:multiLevelType w:val="hybridMultilevel"/>
    <w:tmpl w:val="DAA8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E57A2"/>
    <w:multiLevelType w:val="hybridMultilevel"/>
    <w:tmpl w:val="C4E07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1F63AC"/>
    <w:multiLevelType w:val="hybridMultilevel"/>
    <w:tmpl w:val="03D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E1EB3"/>
    <w:multiLevelType w:val="hybridMultilevel"/>
    <w:tmpl w:val="031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B1069"/>
    <w:multiLevelType w:val="hybridMultilevel"/>
    <w:tmpl w:val="8A2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72E69"/>
    <w:multiLevelType w:val="hybridMultilevel"/>
    <w:tmpl w:val="7BE0D0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333E8D"/>
    <w:multiLevelType w:val="hybridMultilevel"/>
    <w:tmpl w:val="D0A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877C7"/>
    <w:multiLevelType w:val="hybridMultilevel"/>
    <w:tmpl w:val="DC72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22F2B"/>
    <w:multiLevelType w:val="hybridMultilevel"/>
    <w:tmpl w:val="9B2C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65608"/>
    <w:multiLevelType w:val="hybridMultilevel"/>
    <w:tmpl w:val="4DA0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E56CE"/>
    <w:multiLevelType w:val="hybridMultilevel"/>
    <w:tmpl w:val="EF10CB40"/>
    <w:lvl w:ilvl="0" w:tplc="02164708">
      <w:start w:val="1"/>
      <w:numFmt w:val="upperRoman"/>
      <w:lvlText w:val="%1."/>
      <w:lvlJc w:val="right"/>
      <w:pPr>
        <w:ind w:left="720" w:hanging="360"/>
      </w:pPr>
      <w:rPr>
        <w:rFonts w:cs="Times New Roman"/>
        <w:b/>
        <w:bCs w:val="0"/>
        <w:i w:val="0"/>
        <w:iCs w:val="0"/>
        <w:caps w:val="0"/>
        <w:smallCaps w:val="0"/>
        <w:strike w:val="0"/>
        <w:dstrike w:val="0"/>
        <w:noProof w:val="0"/>
        <w:vanish w:val="0"/>
        <w:color w:val="auto"/>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6866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650A6"/>
    <w:multiLevelType w:val="hybridMultilevel"/>
    <w:tmpl w:val="7B8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C6162"/>
    <w:multiLevelType w:val="hybridMultilevel"/>
    <w:tmpl w:val="7AEACAF6"/>
    <w:lvl w:ilvl="0" w:tplc="FC3E6CE4">
      <w:start w:val="1"/>
      <w:numFmt w:val="bullet"/>
      <w:lvlText w:val="•"/>
      <w:lvlJc w:val="left"/>
      <w:pPr>
        <w:tabs>
          <w:tab w:val="num" w:pos="720"/>
        </w:tabs>
        <w:ind w:left="720" w:hanging="360"/>
      </w:pPr>
      <w:rPr>
        <w:rFonts w:ascii="Arial" w:hAnsi="Arial" w:hint="default"/>
      </w:rPr>
    </w:lvl>
    <w:lvl w:ilvl="1" w:tplc="F738E4B8">
      <w:start w:val="1"/>
      <w:numFmt w:val="bullet"/>
      <w:lvlText w:val="•"/>
      <w:lvlJc w:val="left"/>
      <w:pPr>
        <w:tabs>
          <w:tab w:val="num" w:pos="1440"/>
        </w:tabs>
        <w:ind w:left="1440" w:hanging="360"/>
      </w:pPr>
      <w:rPr>
        <w:rFonts w:ascii="Arial" w:hAnsi="Arial" w:hint="default"/>
      </w:rPr>
    </w:lvl>
    <w:lvl w:ilvl="2" w:tplc="14C4271E" w:tentative="1">
      <w:start w:val="1"/>
      <w:numFmt w:val="bullet"/>
      <w:lvlText w:val="•"/>
      <w:lvlJc w:val="left"/>
      <w:pPr>
        <w:tabs>
          <w:tab w:val="num" w:pos="2160"/>
        </w:tabs>
        <w:ind w:left="2160" w:hanging="360"/>
      </w:pPr>
      <w:rPr>
        <w:rFonts w:ascii="Arial" w:hAnsi="Arial" w:hint="default"/>
      </w:rPr>
    </w:lvl>
    <w:lvl w:ilvl="3" w:tplc="0816941C" w:tentative="1">
      <w:start w:val="1"/>
      <w:numFmt w:val="bullet"/>
      <w:lvlText w:val="•"/>
      <w:lvlJc w:val="left"/>
      <w:pPr>
        <w:tabs>
          <w:tab w:val="num" w:pos="2880"/>
        </w:tabs>
        <w:ind w:left="2880" w:hanging="360"/>
      </w:pPr>
      <w:rPr>
        <w:rFonts w:ascii="Arial" w:hAnsi="Arial" w:hint="default"/>
      </w:rPr>
    </w:lvl>
    <w:lvl w:ilvl="4" w:tplc="75F831EA" w:tentative="1">
      <w:start w:val="1"/>
      <w:numFmt w:val="bullet"/>
      <w:lvlText w:val="•"/>
      <w:lvlJc w:val="left"/>
      <w:pPr>
        <w:tabs>
          <w:tab w:val="num" w:pos="3600"/>
        </w:tabs>
        <w:ind w:left="3600" w:hanging="360"/>
      </w:pPr>
      <w:rPr>
        <w:rFonts w:ascii="Arial" w:hAnsi="Arial" w:hint="default"/>
      </w:rPr>
    </w:lvl>
    <w:lvl w:ilvl="5" w:tplc="42C4CEF2" w:tentative="1">
      <w:start w:val="1"/>
      <w:numFmt w:val="bullet"/>
      <w:lvlText w:val="•"/>
      <w:lvlJc w:val="left"/>
      <w:pPr>
        <w:tabs>
          <w:tab w:val="num" w:pos="4320"/>
        </w:tabs>
        <w:ind w:left="4320" w:hanging="360"/>
      </w:pPr>
      <w:rPr>
        <w:rFonts w:ascii="Arial" w:hAnsi="Arial" w:hint="default"/>
      </w:rPr>
    </w:lvl>
    <w:lvl w:ilvl="6" w:tplc="BC580F84" w:tentative="1">
      <w:start w:val="1"/>
      <w:numFmt w:val="bullet"/>
      <w:lvlText w:val="•"/>
      <w:lvlJc w:val="left"/>
      <w:pPr>
        <w:tabs>
          <w:tab w:val="num" w:pos="5040"/>
        </w:tabs>
        <w:ind w:left="5040" w:hanging="360"/>
      </w:pPr>
      <w:rPr>
        <w:rFonts w:ascii="Arial" w:hAnsi="Arial" w:hint="default"/>
      </w:rPr>
    </w:lvl>
    <w:lvl w:ilvl="7" w:tplc="963CF6AA" w:tentative="1">
      <w:start w:val="1"/>
      <w:numFmt w:val="bullet"/>
      <w:lvlText w:val="•"/>
      <w:lvlJc w:val="left"/>
      <w:pPr>
        <w:tabs>
          <w:tab w:val="num" w:pos="5760"/>
        </w:tabs>
        <w:ind w:left="5760" w:hanging="360"/>
      </w:pPr>
      <w:rPr>
        <w:rFonts w:ascii="Arial" w:hAnsi="Arial" w:hint="default"/>
      </w:rPr>
    </w:lvl>
    <w:lvl w:ilvl="8" w:tplc="7B7E35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7DE6408"/>
    <w:multiLevelType w:val="hybridMultilevel"/>
    <w:tmpl w:val="92E6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A39AB"/>
    <w:multiLevelType w:val="hybridMultilevel"/>
    <w:tmpl w:val="93CC86C8"/>
    <w:lvl w:ilvl="0" w:tplc="38BE52D8">
      <w:start w:val="1"/>
      <w:numFmt w:val="upperLetter"/>
      <w:lvlText w:val="%1."/>
      <w:lvlJc w:val="right"/>
      <w:pPr>
        <w:ind w:left="1080" w:hanging="720"/>
      </w:pPr>
      <w:rPr>
        <w:rFonts w:cs="Times New Roman" w:hint="default"/>
        <w:b/>
        <w:bCs w:val="0"/>
        <w:i/>
        <w:iCs w:val="0"/>
        <w:caps w:val="0"/>
        <w:smallCaps w:val="0"/>
        <w:strike w:val="0"/>
        <w:dstrike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6B6F9A"/>
    <w:multiLevelType w:val="hybridMultilevel"/>
    <w:tmpl w:val="779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449E1"/>
    <w:multiLevelType w:val="hybridMultilevel"/>
    <w:tmpl w:val="084C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F7A87"/>
    <w:multiLevelType w:val="hybridMultilevel"/>
    <w:tmpl w:val="D34C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813E1"/>
    <w:multiLevelType w:val="hybridMultilevel"/>
    <w:tmpl w:val="FA10E2AA"/>
    <w:lvl w:ilvl="0" w:tplc="18F23EFC">
      <w:start w:val="1"/>
      <w:numFmt w:val="bullet"/>
      <w:pStyle w:val="Bullet-1stLeve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C2FDE"/>
    <w:multiLevelType w:val="hybridMultilevel"/>
    <w:tmpl w:val="3452BF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60862E92"/>
    <w:multiLevelType w:val="hybridMultilevel"/>
    <w:tmpl w:val="B424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93D44"/>
    <w:multiLevelType w:val="hybridMultilevel"/>
    <w:tmpl w:val="5596B8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4D378B"/>
    <w:multiLevelType w:val="hybridMultilevel"/>
    <w:tmpl w:val="77D245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45711"/>
    <w:multiLevelType w:val="hybridMultilevel"/>
    <w:tmpl w:val="D334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2F1102"/>
    <w:multiLevelType w:val="hybridMultilevel"/>
    <w:tmpl w:val="7A4A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E72715"/>
    <w:multiLevelType w:val="hybridMultilevel"/>
    <w:tmpl w:val="87CA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82B64"/>
    <w:multiLevelType w:val="hybridMultilevel"/>
    <w:tmpl w:val="8BC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577004"/>
    <w:multiLevelType w:val="hybridMultilevel"/>
    <w:tmpl w:val="1ED0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542952"/>
    <w:multiLevelType w:val="hybridMultilevel"/>
    <w:tmpl w:val="74E6045C"/>
    <w:lvl w:ilvl="0" w:tplc="8152B2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B3BB6"/>
    <w:multiLevelType w:val="hybridMultilevel"/>
    <w:tmpl w:val="07B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F405D4"/>
    <w:multiLevelType w:val="hybridMultilevel"/>
    <w:tmpl w:val="874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920696"/>
    <w:multiLevelType w:val="hybridMultilevel"/>
    <w:tmpl w:val="B14AE0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115E8B"/>
    <w:multiLevelType w:val="hybridMultilevel"/>
    <w:tmpl w:val="5F78E48A"/>
    <w:lvl w:ilvl="0" w:tplc="72FE1D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5E775A"/>
    <w:multiLevelType w:val="hybridMultilevel"/>
    <w:tmpl w:val="1240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D82AF5"/>
    <w:multiLevelType w:val="hybridMultilevel"/>
    <w:tmpl w:val="4D5C257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4" w15:restartNumberingAfterBreak="0">
    <w:nsid w:val="7D1904A2"/>
    <w:multiLevelType w:val="hybridMultilevel"/>
    <w:tmpl w:val="E66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4F1BC0"/>
    <w:multiLevelType w:val="hybridMultilevel"/>
    <w:tmpl w:val="94364118"/>
    <w:lvl w:ilvl="0" w:tplc="B448D15A">
      <w:start w:val="1"/>
      <w:numFmt w:val="bullet"/>
      <w:lvlText w:val="•"/>
      <w:lvlJc w:val="left"/>
      <w:pPr>
        <w:tabs>
          <w:tab w:val="num" w:pos="720"/>
        </w:tabs>
        <w:ind w:left="720" w:hanging="360"/>
      </w:pPr>
      <w:rPr>
        <w:rFonts w:ascii="Arial" w:hAnsi="Arial" w:hint="default"/>
      </w:rPr>
    </w:lvl>
    <w:lvl w:ilvl="1" w:tplc="16DEB31A">
      <w:start w:val="1"/>
      <w:numFmt w:val="bullet"/>
      <w:lvlText w:val="•"/>
      <w:lvlJc w:val="left"/>
      <w:pPr>
        <w:tabs>
          <w:tab w:val="num" w:pos="1440"/>
        </w:tabs>
        <w:ind w:left="1440" w:hanging="360"/>
      </w:pPr>
      <w:rPr>
        <w:rFonts w:ascii="Arial" w:hAnsi="Arial" w:hint="default"/>
      </w:rPr>
    </w:lvl>
    <w:lvl w:ilvl="2" w:tplc="7B328C46" w:tentative="1">
      <w:start w:val="1"/>
      <w:numFmt w:val="bullet"/>
      <w:lvlText w:val="•"/>
      <w:lvlJc w:val="left"/>
      <w:pPr>
        <w:tabs>
          <w:tab w:val="num" w:pos="2160"/>
        </w:tabs>
        <w:ind w:left="2160" w:hanging="360"/>
      </w:pPr>
      <w:rPr>
        <w:rFonts w:ascii="Arial" w:hAnsi="Arial" w:hint="default"/>
      </w:rPr>
    </w:lvl>
    <w:lvl w:ilvl="3" w:tplc="F4E6D4B0" w:tentative="1">
      <w:start w:val="1"/>
      <w:numFmt w:val="bullet"/>
      <w:lvlText w:val="•"/>
      <w:lvlJc w:val="left"/>
      <w:pPr>
        <w:tabs>
          <w:tab w:val="num" w:pos="2880"/>
        </w:tabs>
        <w:ind w:left="2880" w:hanging="360"/>
      </w:pPr>
      <w:rPr>
        <w:rFonts w:ascii="Arial" w:hAnsi="Arial" w:hint="default"/>
      </w:rPr>
    </w:lvl>
    <w:lvl w:ilvl="4" w:tplc="F06AA0EE" w:tentative="1">
      <w:start w:val="1"/>
      <w:numFmt w:val="bullet"/>
      <w:lvlText w:val="•"/>
      <w:lvlJc w:val="left"/>
      <w:pPr>
        <w:tabs>
          <w:tab w:val="num" w:pos="3600"/>
        </w:tabs>
        <w:ind w:left="3600" w:hanging="360"/>
      </w:pPr>
      <w:rPr>
        <w:rFonts w:ascii="Arial" w:hAnsi="Arial" w:hint="default"/>
      </w:rPr>
    </w:lvl>
    <w:lvl w:ilvl="5" w:tplc="4EF22436" w:tentative="1">
      <w:start w:val="1"/>
      <w:numFmt w:val="bullet"/>
      <w:lvlText w:val="•"/>
      <w:lvlJc w:val="left"/>
      <w:pPr>
        <w:tabs>
          <w:tab w:val="num" w:pos="4320"/>
        </w:tabs>
        <w:ind w:left="4320" w:hanging="360"/>
      </w:pPr>
      <w:rPr>
        <w:rFonts w:ascii="Arial" w:hAnsi="Arial" w:hint="default"/>
      </w:rPr>
    </w:lvl>
    <w:lvl w:ilvl="6" w:tplc="8C82D806" w:tentative="1">
      <w:start w:val="1"/>
      <w:numFmt w:val="bullet"/>
      <w:lvlText w:val="•"/>
      <w:lvlJc w:val="left"/>
      <w:pPr>
        <w:tabs>
          <w:tab w:val="num" w:pos="5040"/>
        </w:tabs>
        <w:ind w:left="5040" w:hanging="360"/>
      </w:pPr>
      <w:rPr>
        <w:rFonts w:ascii="Arial" w:hAnsi="Arial" w:hint="default"/>
      </w:rPr>
    </w:lvl>
    <w:lvl w:ilvl="7" w:tplc="ECF88F62" w:tentative="1">
      <w:start w:val="1"/>
      <w:numFmt w:val="bullet"/>
      <w:lvlText w:val="•"/>
      <w:lvlJc w:val="left"/>
      <w:pPr>
        <w:tabs>
          <w:tab w:val="num" w:pos="5760"/>
        </w:tabs>
        <w:ind w:left="5760" w:hanging="360"/>
      </w:pPr>
      <w:rPr>
        <w:rFonts w:ascii="Arial" w:hAnsi="Arial" w:hint="default"/>
      </w:rPr>
    </w:lvl>
    <w:lvl w:ilvl="8" w:tplc="1402100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2"/>
  </w:num>
  <w:num w:numId="3">
    <w:abstractNumId w:val="40"/>
  </w:num>
  <w:num w:numId="4">
    <w:abstractNumId w:val="29"/>
  </w:num>
  <w:num w:numId="5">
    <w:abstractNumId w:val="33"/>
  </w:num>
  <w:num w:numId="6">
    <w:abstractNumId w:val="37"/>
  </w:num>
  <w:num w:numId="7">
    <w:abstractNumId w:val="20"/>
  </w:num>
  <w:num w:numId="8">
    <w:abstractNumId w:val="36"/>
  </w:num>
  <w:num w:numId="9">
    <w:abstractNumId w:val="33"/>
    <w:lvlOverride w:ilvl="0">
      <w:startOverride w:val="1"/>
    </w:lvlOverride>
  </w:num>
  <w:num w:numId="10">
    <w:abstractNumId w:val="0"/>
  </w:num>
  <w:num w:numId="11">
    <w:abstractNumId w:val="21"/>
  </w:num>
  <w:num w:numId="12">
    <w:abstractNumId w:val="2"/>
  </w:num>
  <w:num w:numId="13">
    <w:abstractNumId w:val="19"/>
  </w:num>
  <w:num w:numId="14">
    <w:abstractNumId w:val="34"/>
  </w:num>
  <w:num w:numId="15">
    <w:abstractNumId w:val="22"/>
  </w:num>
  <w:num w:numId="16">
    <w:abstractNumId w:val="30"/>
  </w:num>
  <w:num w:numId="17">
    <w:abstractNumId w:val="12"/>
  </w:num>
  <w:num w:numId="18">
    <w:abstractNumId w:val="25"/>
  </w:num>
  <w:num w:numId="19">
    <w:abstractNumId w:val="53"/>
  </w:num>
  <w:num w:numId="20">
    <w:abstractNumId w:val="3"/>
  </w:num>
  <w:num w:numId="21">
    <w:abstractNumId w:val="51"/>
  </w:num>
  <w:num w:numId="22">
    <w:abstractNumId w:val="35"/>
  </w:num>
  <w:num w:numId="23">
    <w:abstractNumId w:val="38"/>
  </w:num>
  <w:num w:numId="24">
    <w:abstractNumId w:val="4"/>
  </w:num>
  <w:num w:numId="25">
    <w:abstractNumId w:val="31"/>
  </w:num>
  <w:num w:numId="26">
    <w:abstractNumId w:val="55"/>
  </w:num>
  <w:num w:numId="27">
    <w:abstractNumId w:val="9"/>
  </w:num>
  <w:num w:numId="28">
    <w:abstractNumId w:val="16"/>
  </w:num>
  <w:num w:numId="29">
    <w:abstractNumId w:val="33"/>
    <w:lvlOverride w:ilvl="0">
      <w:startOverride w:val="1"/>
    </w:lvlOverride>
  </w:num>
  <w:num w:numId="30">
    <w:abstractNumId w:val="46"/>
  </w:num>
  <w:num w:numId="31">
    <w:abstractNumId w:val="48"/>
  </w:num>
  <w:num w:numId="32">
    <w:abstractNumId w:val="54"/>
  </w:num>
  <w:num w:numId="33">
    <w:abstractNumId w:val="45"/>
  </w:num>
  <w:num w:numId="34">
    <w:abstractNumId w:val="26"/>
  </w:num>
  <w:num w:numId="35">
    <w:abstractNumId w:val="49"/>
  </w:num>
  <w:num w:numId="36">
    <w:abstractNumId w:val="6"/>
  </w:num>
  <w:num w:numId="37">
    <w:abstractNumId w:val="8"/>
  </w:num>
  <w:num w:numId="38">
    <w:abstractNumId w:val="1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27"/>
  </w:num>
  <w:num w:numId="43">
    <w:abstractNumId w:val="5"/>
  </w:num>
  <w:num w:numId="44">
    <w:abstractNumId w:val="32"/>
  </w:num>
  <w:num w:numId="45">
    <w:abstractNumId w:val="50"/>
  </w:num>
  <w:num w:numId="46">
    <w:abstractNumId w:val="39"/>
  </w:num>
  <w:num w:numId="47">
    <w:abstractNumId w:val="10"/>
  </w:num>
  <w:num w:numId="48">
    <w:abstractNumId w:val="17"/>
  </w:num>
  <w:num w:numId="49">
    <w:abstractNumId w:val="13"/>
  </w:num>
  <w:num w:numId="50">
    <w:abstractNumId w:val="11"/>
  </w:num>
  <w:num w:numId="51">
    <w:abstractNumId w:val="41"/>
  </w:num>
  <w:num w:numId="52">
    <w:abstractNumId w:val="43"/>
  </w:num>
  <w:num w:numId="53">
    <w:abstractNumId w:val="18"/>
  </w:num>
  <w:num w:numId="54">
    <w:abstractNumId w:val="1"/>
  </w:num>
  <w:num w:numId="55">
    <w:abstractNumId w:val="44"/>
  </w:num>
  <w:num w:numId="56">
    <w:abstractNumId w:val="47"/>
  </w:num>
  <w:num w:numId="57">
    <w:abstractNumId w:val="24"/>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342794.1"/>
    <w:docVar w:name="MPDocIDTemplateDefault" w:val="%n|.%v"/>
    <w:docVar w:name="NewDocStampType" w:val="7"/>
  </w:docVars>
  <w:rsids>
    <w:rsidRoot w:val="004939AD"/>
    <w:rsid w:val="00002874"/>
    <w:rsid w:val="0000414D"/>
    <w:rsid w:val="00006111"/>
    <w:rsid w:val="000066DE"/>
    <w:rsid w:val="0000793C"/>
    <w:rsid w:val="0001212F"/>
    <w:rsid w:val="000155CC"/>
    <w:rsid w:val="00016335"/>
    <w:rsid w:val="000227AD"/>
    <w:rsid w:val="00026110"/>
    <w:rsid w:val="000324BD"/>
    <w:rsid w:val="000324F9"/>
    <w:rsid w:val="00032826"/>
    <w:rsid w:val="00033FB7"/>
    <w:rsid w:val="000408FA"/>
    <w:rsid w:val="00042A2A"/>
    <w:rsid w:val="00042E2C"/>
    <w:rsid w:val="00046C13"/>
    <w:rsid w:val="00052167"/>
    <w:rsid w:val="000526A8"/>
    <w:rsid w:val="0006024B"/>
    <w:rsid w:val="000618A4"/>
    <w:rsid w:val="0006383D"/>
    <w:rsid w:val="00066A8C"/>
    <w:rsid w:val="0006719C"/>
    <w:rsid w:val="0006799E"/>
    <w:rsid w:val="0007098E"/>
    <w:rsid w:val="00073858"/>
    <w:rsid w:val="00075B29"/>
    <w:rsid w:val="00080CAB"/>
    <w:rsid w:val="00082B67"/>
    <w:rsid w:val="0009016D"/>
    <w:rsid w:val="00095D55"/>
    <w:rsid w:val="00095E36"/>
    <w:rsid w:val="000A0FE0"/>
    <w:rsid w:val="000B07E1"/>
    <w:rsid w:val="000B3EF2"/>
    <w:rsid w:val="000B6EFE"/>
    <w:rsid w:val="000B7D78"/>
    <w:rsid w:val="000C4701"/>
    <w:rsid w:val="000C5316"/>
    <w:rsid w:val="000D3389"/>
    <w:rsid w:val="000D4527"/>
    <w:rsid w:val="000E16D5"/>
    <w:rsid w:val="000E1927"/>
    <w:rsid w:val="000E270D"/>
    <w:rsid w:val="000E319E"/>
    <w:rsid w:val="000E5448"/>
    <w:rsid w:val="000E5B70"/>
    <w:rsid w:val="000E67B3"/>
    <w:rsid w:val="000F0B3C"/>
    <w:rsid w:val="000F3197"/>
    <w:rsid w:val="000F508E"/>
    <w:rsid w:val="000F7ED6"/>
    <w:rsid w:val="0010222B"/>
    <w:rsid w:val="00105DE9"/>
    <w:rsid w:val="001108D8"/>
    <w:rsid w:val="00117B4F"/>
    <w:rsid w:val="001206FF"/>
    <w:rsid w:val="001246FC"/>
    <w:rsid w:val="00125A53"/>
    <w:rsid w:val="00127BE4"/>
    <w:rsid w:val="0013714D"/>
    <w:rsid w:val="00140C38"/>
    <w:rsid w:val="00142263"/>
    <w:rsid w:val="001509D5"/>
    <w:rsid w:val="0015221C"/>
    <w:rsid w:val="00152ED0"/>
    <w:rsid w:val="00154CF8"/>
    <w:rsid w:val="00155839"/>
    <w:rsid w:val="00155E7B"/>
    <w:rsid w:val="0015687A"/>
    <w:rsid w:val="00160B2C"/>
    <w:rsid w:val="00167CA1"/>
    <w:rsid w:val="0017224A"/>
    <w:rsid w:val="0017560D"/>
    <w:rsid w:val="00177056"/>
    <w:rsid w:val="0018026B"/>
    <w:rsid w:val="00183A2B"/>
    <w:rsid w:val="0018535F"/>
    <w:rsid w:val="0018680C"/>
    <w:rsid w:val="001906D3"/>
    <w:rsid w:val="00191E8E"/>
    <w:rsid w:val="00193E12"/>
    <w:rsid w:val="001A033C"/>
    <w:rsid w:val="001A0436"/>
    <w:rsid w:val="001B18AA"/>
    <w:rsid w:val="001B5F77"/>
    <w:rsid w:val="001B6155"/>
    <w:rsid w:val="001B633A"/>
    <w:rsid w:val="001B6D2C"/>
    <w:rsid w:val="001C3401"/>
    <w:rsid w:val="001D5C6A"/>
    <w:rsid w:val="001E2408"/>
    <w:rsid w:val="001E2A26"/>
    <w:rsid w:val="001E3906"/>
    <w:rsid w:val="001F0E08"/>
    <w:rsid w:val="001F2588"/>
    <w:rsid w:val="001F3D1C"/>
    <w:rsid w:val="001F730D"/>
    <w:rsid w:val="0020034A"/>
    <w:rsid w:val="00204F0C"/>
    <w:rsid w:val="00206C5B"/>
    <w:rsid w:val="00207AFA"/>
    <w:rsid w:val="00215CA2"/>
    <w:rsid w:val="002216F2"/>
    <w:rsid w:val="00222373"/>
    <w:rsid w:val="00226631"/>
    <w:rsid w:val="002268F6"/>
    <w:rsid w:val="00226BF8"/>
    <w:rsid w:val="00226F6E"/>
    <w:rsid w:val="00231B61"/>
    <w:rsid w:val="002340BA"/>
    <w:rsid w:val="00236120"/>
    <w:rsid w:val="00237A4B"/>
    <w:rsid w:val="00237EBA"/>
    <w:rsid w:val="00240752"/>
    <w:rsid w:val="002416B5"/>
    <w:rsid w:val="00243CD6"/>
    <w:rsid w:val="0024443E"/>
    <w:rsid w:val="002515C1"/>
    <w:rsid w:val="002518FF"/>
    <w:rsid w:val="00251FF8"/>
    <w:rsid w:val="00252692"/>
    <w:rsid w:val="00252FE6"/>
    <w:rsid w:val="00253E33"/>
    <w:rsid w:val="002603D7"/>
    <w:rsid w:val="00260C4D"/>
    <w:rsid w:val="00261C88"/>
    <w:rsid w:val="00262FE1"/>
    <w:rsid w:val="0026351E"/>
    <w:rsid w:val="00265544"/>
    <w:rsid w:val="00266D16"/>
    <w:rsid w:val="00270E9D"/>
    <w:rsid w:val="002717C1"/>
    <w:rsid w:val="00271D19"/>
    <w:rsid w:val="00272914"/>
    <w:rsid w:val="00274467"/>
    <w:rsid w:val="00277DF7"/>
    <w:rsid w:val="002808F9"/>
    <w:rsid w:val="00281C07"/>
    <w:rsid w:val="00282687"/>
    <w:rsid w:val="00282D3A"/>
    <w:rsid w:val="002878BC"/>
    <w:rsid w:val="00293CED"/>
    <w:rsid w:val="0029486A"/>
    <w:rsid w:val="00295581"/>
    <w:rsid w:val="002A1AE1"/>
    <w:rsid w:val="002A3A91"/>
    <w:rsid w:val="002A3C58"/>
    <w:rsid w:val="002A3DFF"/>
    <w:rsid w:val="002B133D"/>
    <w:rsid w:val="002B2C6C"/>
    <w:rsid w:val="002B37E3"/>
    <w:rsid w:val="002B7786"/>
    <w:rsid w:val="002C08C7"/>
    <w:rsid w:val="002C0C99"/>
    <w:rsid w:val="002C11DF"/>
    <w:rsid w:val="002C291E"/>
    <w:rsid w:val="002D4C6A"/>
    <w:rsid w:val="002E0266"/>
    <w:rsid w:val="002E0B64"/>
    <w:rsid w:val="002E0C96"/>
    <w:rsid w:val="002E1793"/>
    <w:rsid w:val="002E1860"/>
    <w:rsid w:val="002E1C3A"/>
    <w:rsid w:val="002E1C46"/>
    <w:rsid w:val="002F1EEA"/>
    <w:rsid w:val="002F2F43"/>
    <w:rsid w:val="002F34AD"/>
    <w:rsid w:val="003020C1"/>
    <w:rsid w:val="003042B4"/>
    <w:rsid w:val="00304D1E"/>
    <w:rsid w:val="00306057"/>
    <w:rsid w:val="00310E8E"/>
    <w:rsid w:val="00311C2A"/>
    <w:rsid w:val="00314D94"/>
    <w:rsid w:val="00320ED2"/>
    <w:rsid w:val="00322A83"/>
    <w:rsid w:val="00325073"/>
    <w:rsid w:val="00326333"/>
    <w:rsid w:val="00326CA6"/>
    <w:rsid w:val="00330969"/>
    <w:rsid w:val="00335925"/>
    <w:rsid w:val="0034028D"/>
    <w:rsid w:val="0034528C"/>
    <w:rsid w:val="003519C8"/>
    <w:rsid w:val="00353FFD"/>
    <w:rsid w:val="003547DF"/>
    <w:rsid w:val="003562DB"/>
    <w:rsid w:val="0036393E"/>
    <w:rsid w:val="00366726"/>
    <w:rsid w:val="003700B8"/>
    <w:rsid w:val="003719E4"/>
    <w:rsid w:val="00373A65"/>
    <w:rsid w:val="003740F5"/>
    <w:rsid w:val="00376E2C"/>
    <w:rsid w:val="0037701F"/>
    <w:rsid w:val="00377698"/>
    <w:rsid w:val="00377973"/>
    <w:rsid w:val="00377E55"/>
    <w:rsid w:val="00380603"/>
    <w:rsid w:val="00382F55"/>
    <w:rsid w:val="00383739"/>
    <w:rsid w:val="00386680"/>
    <w:rsid w:val="00387AB0"/>
    <w:rsid w:val="00390754"/>
    <w:rsid w:val="003913F5"/>
    <w:rsid w:val="003923AB"/>
    <w:rsid w:val="0039244F"/>
    <w:rsid w:val="0039300F"/>
    <w:rsid w:val="00394050"/>
    <w:rsid w:val="0039435F"/>
    <w:rsid w:val="00394804"/>
    <w:rsid w:val="003A3F30"/>
    <w:rsid w:val="003A4380"/>
    <w:rsid w:val="003A58C4"/>
    <w:rsid w:val="003A5D2C"/>
    <w:rsid w:val="003A5E17"/>
    <w:rsid w:val="003A688C"/>
    <w:rsid w:val="003B02B1"/>
    <w:rsid w:val="003B7445"/>
    <w:rsid w:val="003C1648"/>
    <w:rsid w:val="003C1BA8"/>
    <w:rsid w:val="003C3CDA"/>
    <w:rsid w:val="003C40F2"/>
    <w:rsid w:val="003C5135"/>
    <w:rsid w:val="003C5745"/>
    <w:rsid w:val="003C5FE6"/>
    <w:rsid w:val="003D3209"/>
    <w:rsid w:val="003D79AE"/>
    <w:rsid w:val="003F3E97"/>
    <w:rsid w:val="003F5691"/>
    <w:rsid w:val="003F56DA"/>
    <w:rsid w:val="00401069"/>
    <w:rsid w:val="00404C93"/>
    <w:rsid w:val="00404E22"/>
    <w:rsid w:val="00405A6F"/>
    <w:rsid w:val="004068FA"/>
    <w:rsid w:val="00417AD2"/>
    <w:rsid w:val="00420494"/>
    <w:rsid w:val="004208DF"/>
    <w:rsid w:val="00421185"/>
    <w:rsid w:val="00421A0E"/>
    <w:rsid w:val="00422731"/>
    <w:rsid w:val="0042658C"/>
    <w:rsid w:val="00427882"/>
    <w:rsid w:val="00431358"/>
    <w:rsid w:val="00433732"/>
    <w:rsid w:val="00436DE3"/>
    <w:rsid w:val="00437BEB"/>
    <w:rsid w:val="00437F23"/>
    <w:rsid w:val="00445928"/>
    <w:rsid w:val="00445FAD"/>
    <w:rsid w:val="00450668"/>
    <w:rsid w:val="00451B60"/>
    <w:rsid w:val="00453E9C"/>
    <w:rsid w:val="00455E02"/>
    <w:rsid w:val="00456613"/>
    <w:rsid w:val="004602A2"/>
    <w:rsid w:val="00461765"/>
    <w:rsid w:val="00462715"/>
    <w:rsid w:val="00465B05"/>
    <w:rsid w:val="004708C3"/>
    <w:rsid w:val="00481DCA"/>
    <w:rsid w:val="004900FB"/>
    <w:rsid w:val="004921A5"/>
    <w:rsid w:val="00492DA7"/>
    <w:rsid w:val="004939AD"/>
    <w:rsid w:val="00495577"/>
    <w:rsid w:val="004A471D"/>
    <w:rsid w:val="004A637C"/>
    <w:rsid w:val="004A74A5"/>
    <w:rsid w:val="004A78B7"/>
    <w:rsid w:val="004B4232"/>
    <w:rsid w:val="004C5857"/>
    <w:rsid w:val="004C62E0"/>
    <w:rsid w:val="004C7B4F"/>
    <w:rsid w:val="004C7D28"/>
    <w:rsid w:val="004D1AF2"/>
    <w:rsid w:val="004D6527"/>
    <w:rsid w:val="004D7024"/>
    <w:rsid w:val="004D7244"/>
    <w:rsid w:val="004E5ECC"/>
    <w:rsid w:val="004F0697"/>
    <w:rsid w:val="004F1D03"/>
    <w:rsid w:val="004F42E7"/>
    <w:rsid w:val="004F5620"/>
    <w:rsid w:val="00501C00"/>
    <w:rsid w:val="00503BF4"/>
    <w:rsid w:val="00510185"/>
    <w:rsid w:val="00510B0F"/>
    <w:rsid w:val="005114CE"/>
    <w:rsid w:val="0052136B"/>
    <w:rsid w:val="00522938"/>
    <w:rsid w:val="00525351"/>
    <w:rsid w:val="005347FA"/>
    <w:rsid w:val="00536750"/>
    <w:rsid w:val="00536B8A"/>
    <w:rsid w:val="005444E9"/>
    <w:rsid w:val="005514CB"/>
    <w:rsid w:val="00551842"/>
    <w:rsid w:val="005524C8"/>
    <w:rsid w:val="00552783"/>
    <w:rsid w:val="005547E1"/>
    <w:rsid w:val="005566BD"/>
    <w:rsid w:val="00560508"/>
    <w:rsid w:val="00561594"/>
    <w:rsid w:val="00562748"/>
    <w:rsid w:val="00562CC1"/>
    <w:rsid w:val="00564594"/>
    <w:rsid w:val="005651EE"/>
    <w:rsid w:val="0056597F"/>
    <w:rsid w:val="00575CB6"/>
    <w:rsid w:val="00581008"/>
    <w:rsid w:val="00585A92"/>
    <w:rsid w:val="00585D7B"/>
    <w:rsid w:val="005862F9"/>
    <w:rsid w:val="00587469"/>
    <w:rsid w:val="00587841"/>
    <w:rsid w:val="0059404C"/>
    <w:rsid w:val="00595F3F"/>
    <w:rsid w:val="005960A6"/>
    <w:rsid w:val="00596450"/>
    <w:rsid w:val="0059743C"/>
    <w:rsid w:val="005A1792"/>
    <w:rsid w:val="005A283C"/>
    <w:rsid w:val="005A62BE"/>
    <w:rsid w:val="005A7A4A"/>
    <w:rsid w:val="005B06EE"/>
    <w:rsid w:val="005B1439"/>
    <w:rsid w:val="005B1DC9"/>
    <w:rsid w:val="005B7CD7"/>
    <w:rsid w:val="005C0E5B"/>
    <w:rsid w:val="005C2205"/>
    <w:rsid w:val="005C4398"/>
    <w:rsid w:val="005C77A8"/>
    <w:rsid w:val="005D400A"/>
    <w:rsid w:val="005E1C27"/>
    <w:rsid w:val="005E2092"/>
    <w:rsid w:val="005E5FCC"/>
    <w:rsid w:val="005E6A52"/>
    <w:rsid w:val="005E6E20"/>
    <w:rsid w:val="005F396F"/>
    <w:rsid w:val="005F4791"/>
    <w:rsid w:val="005F6C16"/>
    <w:rsid w:val="005F7F1D"/>
    <w:rsid w:val="00602387"/>
    <w:rsid w:val="00602931"/>
    <w:rsid w:val="00602E07"/>
    <w:rsid w:val="006034F4"/>
    <w:rsid w:val="00606958"/>
    <w:rsid w:val="00606D2F"/>
    <w:rsid w:val="00611709"/>
    <w:rsid w:val="0061519D"/>
    <w:rsid w:val="0062116F"/>
    <w:rsid w:val="006212A7"/>
    <w:rsid w:val="0062152B"/>
    <w:rsid w:val="0062298A"/>
    <w:rsid w:val="0062529A"/>
    <w:rsid w:val="0062670E"/>
    <w:rsid w:val="00626909"/>
    <w:rsid w:val="00627960"/>
    <w:rsid w:val="00632EB3"/>
    <w:rsid w:val="00633E8E"/>
    <w:rsid w:val="00635D41"/>
    <w:rsid w:val="00636BF3"/>
    <w:rsid w:val="00636D31"/>
    <w:rsid w:val="006406F9"/>
    <w:rsid w:val="00641DAC"/>
    <w:rsid w:val="00642BF5"/>
    <w:rsid w:val="00644A19"/>
    <w:rsid w:val="006461BA"/>
    <w:rsid w:val="00646874"/>
    <w:rsid w:val="00646BA9"/>
    <w:rsid w:val="00647943"/>
    <w:rsid w:val="0065069C"/>
    <w:rsid w:val="006507FE"/>
    <w:rsid w:val="00650E70"/>
    <w:rsid w:val="00651B38"/>
    <w:rsid w:val="006531DA"/>
    <w:rsid w:val="00654838"/>
    <w:rsid w:val="006619F8"/>
    <w:rsid w:val="00671AF6"/>
    <w:rsid w:val="00671D17"/>
    <w:rsid w:val="00672174"/>
    <w:rsid w:val="00672F6E"/>
    <w:rsid w:val="00676571"/>
    <w:rsid w:val="00681BB4"/>
    <w:rsid w:val="006861B7"/>
    <w:rsid w:val="006A03DB"/>
    <w:rsid w:val="006A1F10"/>
    <w:rsid w:val="006A2FD5"/>
    <w:rsid w:val="006A6AD4"/>
    <w:rsid w:val="006B01C3"/>
    <w:rsid w:val="006C1175"/>
    <w:rsid w:val="006C2860"/>
    <w:rsid w:val="006D68DA"/>
    <w:rsid w:val="006E0A0E"/>
    <w:rsid w:val="006F27F2"/>
    <w:rsid w:val="006F4045"/>
    <w:rsid w:val="006F6B20"/>
    <w:rsid w:val="00703A64"/>
    <w:rsid w:val="00705D28"/>
    <w:rsid w:val="007064D3"/>
    <w:rsid w:val="007067D7"/>
    <w:rsid w:val="00706EC9"/>
    <w:rsid w:val="00710F5F"/>
    <w:rsid w:val="00714828"/>
    <w:rsid w:val="007174F4"/>
    <w:rsid w:val="00721C4D"/>
    <w:rsid w:val="00722009"/>
    <w:rsid w:val="0072530E"/>
    <w:rsid w:val="00731E07"/>
    <w:rsid w:val="00737776"/>
    <w:rsid w:val="0074002D"/>
    <w:rsid w:val="007407E5"/>
    <w:rsid w:val="0074147A"/>
    <w:rsid w:val="00744BA5"/>
    <w:rsid w:val="00747D96"/>
    <w:rsid w:val="007507F8"/>
    <w:rsid w:val="00756C7C"/>
    <w:rsid w:val="00756CF1"/>
    <w:rsid w:val="00757C44"/>
    <w:rsid w:val="00760256"/>
    <w:rsid w:val="00762220"/>
    <w:rsid w:val="0076384A"/>
    <w:rsid w:val="00763B11"/>
    <w:rsid w:val="00763EA4"/>
    <w:rsid w:val="0076566C"/>
    <w:rsid w:val="00765F7B"/>
    <w:rsid w:val="0076643C"/>
    <w:rsid w:val="007728C3"/>
    <w:rsid w:val="00776332"/>
    <w:rsid w:val="00777B96"/>
    <w:rsid w:val="00781307"/>
    <w:rsid w:val="00781A19"/>
    <w:rsid w:val="00781A34"/>
    <w:rsid w:val="00784358"/>
    <w:rsid w:val="007851E3"/>
    <w:rsid w:val="007853CC"/>
    <w:rsid w:val="00787416"/>
    <w:rsid w:val="0079024B"/>
    <w:rsid w:val="007A08E3"/>
    <w:rsid w:val="007A6D2D"/>
    <w:rsid w:val="007A7AC2"/>
    <w:rsid w:val="007B1F24"/>
    <w:rsid w:val="007B3BA3"/>
    <w:rsid w:val="007B5491"/>
    <w:rsid w:val="007B7795"/>
    <w:rsid w:val="007C3279"/>
    <w:rsid w:val="007C5772"/>
    <w:rsid w:val="007C7BBF"/>
    <w:rsid w:val="007D08D9"/>
    <w:rsid w:val="007D0DDE"/>
    <w:rsid w:val="007D11E4"/>
    <w:rsid w:val="007D2E9E"/>
    <w:rsid w:val="007D3852"/>
    <w:rsid w:val="007D4299"/>
    <w:rsid w:val="007D674C"/>
    <w:rsid w:val="007E051B"/>
    <w:rsid w:val="007E544F"/>
    <w:rsid w:val="007E5F17"/>
    <w:rsid w:val="007E6141"/>
    <w:rsid w:val="007E7AF1"/>
    <w:rsid w:val="00800682"/>
    <w:rsid w:val="00801A0F"/>
    <w:rsid w:val="00802A17"/>
    <w:rsid w:val="0080561E"/>
    <w:rsid w:val="008062B9"/>
    <w:rsid w:val="008075A2"/>
    <w:rsid w:val="00807B22"/>
    <w:rsid w:val="00813183"/>
    <w:rsid w:val="008147B4"/>
    <w:rsid w:val="00815A68"/>
    <w:rsid w:val="00816A39"/>
    <w:rsid w:val="00816E56"/>
    <w:rsid w:val="00816FA1"/>
    <w:rsid w:val="00820967"/>
    <w:rsid w:val="008228AB"/>
    <w:rsid w:val="0082374F"/>
    <w:rsid w:val="00824570"/>
    <w:rsid w:val="008260D1"/>
    <w:rsid w:val="008265F2"/>
    <w:rsid w:val="00826957"/>
    <w:rsid w:val="008304D7"/>
    <w:rsid w:val="008306E0"/>
    <w:rsid w:val="0083089B"/>
    <w:rsid w:val="0083255E"/>
    <w:rsid w:val="00833D3E"/>
    <w:rsid w:val="008346F6"/>
    <w:rsid w:val="008418BA"/>
    <w:rsid w:val="00842071"/>
    <w:rsid w:val="0084285D"/>
    <w:rsid w:val="008458EF"/>
    <w:rsid w:val="0084743E"/>
    <w:rsid w:val="00847CC5"/>
    <w:rsid w:val="00852370"/>
    <w:rsid w:val="00852C62"/>
    <w:rsid w:val="008547CF"/>
    <w:rsid w:val="00856574"/>
    <w:rsid w:val="0085757B"/>
    <w:rsid w:val="00862C9F"/>
    <w:rsid w:val="00863B4E"/>
    <w:rsid w:val="008645A3"/>
    <w:rsid w:val="008655C1"/>
    <w:rsid w:val="0086760F"/>
    <w:rsid w:val="008678B5"/>
    <w:rsid w:val="00873592"/>
    <w:rsid w:val="0087689C"/>
    <w:rsid w:val="008829D9"/>
    <w:rsid w:val="008859D0"/>
    <w:rsid w:val="0088665D"/>
    <w:rsid w:val="00896BF5"/>
    <w:rsid w:val="0089760E"/>
    <w:rsid w:val="008A1053"/>
    <w:rsid w:val="008B1341"/>
    <w:rsid w:val="008B2CDD"/>
    <w:rsid w:val="008B3179"/>
    <w:rsid w:val="008B3623"/>
    <w:rsid w:val="008B4B40"/>
    <w:rsid w:val="008B609D"/>
    <w:rsid w:val="008C1E8E"/>
    <w:rsid w:val="008C3B26"/>
    <w:rsid w:val="008C68C5"/>
    <w:rsid w:val="008C7F28"/>
    <w:rsid w:val="008D1CC2"/>
    <w:rsid w:val="008D1FD4"/>
    <w:rsid w:val="008D6709"/>
    <w:rsid w:val="008E0DB7"/>
    <w:rsid w:val="008E4CBC"/>
    <w:rsid w:val="008F05E9"/>
    <w:rsid w:val="008F07DA"/>
    <w:rsid w:val="008F70EB"/>
    <w:rsid w:val="0090127C"/>
    <w:rsid w:val="00901D4D"/>
    <w:rsid w:val="0090211C"/>
    <w:rsid w:val="00904697"/>
    <w:rsid w:val="0090518D"/>
    <w:rsid w:val="00905B0F"/>
    <w:rsid w:val="00910902"/>
    <w:rsid w:val="009120C4"/>
    <w:rsid w:val="009206A9"/>
    <w:rsid w:val="00920740"/>
    <w:rsid w:val="00922E24"/>
    <w:rsid w:val="00925EFB"/>
    <w:rsid w:val="0093048B"/>
    <w:rsid w:val="00930EEB"/>
    <w:rsid w:val="00936751"/>
    <w:rsid w:val="009370F4"/>
    <w:rsid w:val="009373F8"/>
    <w:rsid w:val="009436B4"/>
    <w:rsid w:val="00943820"/>
    <w:rsid w:val="00950785"/>
    <w:rsid w:val="009531F8"/>
    <w:rsid w:val="00965204"/>
    <w:rsid w:val="00966650"/>
    <w:rsid w:val="009669F6"/>
    <w:rsid w:val="009701C3"/>
    <w:rsid w:val="0097100B"/>
    <w:rsid w:val="00973061"/>
    <w:rsid w:val="009755AD"/>
    <w:rsid w:val="009810FD"/>
    <w:rsid w:val="009827F5"/>
    <w:rsid w:val="00985DB7"/>
    <w:rsid w:val="009868E5"/>
    <w:rsid w:val="009876F1"/>
    <w:rsid w:val="009A04CD"/>
    <w:rsid w:val="009A526C"/>
    <w:rsid w:val="009B1A90"/>
    <w:rsid w:val="009B406D"/>
    <w:rsid w:val="009B79A8"/>
    <w:rsid w:val="009B7F2E"/>
    <w:rsid w:val="009C0B03"/>
    <w:rsid w:val="009C1274"/>
    <w:rsid w:val="009C7D41"/>
    <w:rsid w:val="009C7E38"/>
    <w:rsid w:val="009D28C9"/>
    <w:rsid w:val="009D2A31"/>
    <w:rsid w:val="009D2B6E"/>
    <w:rsid w:val="009D5BD8"/>
    <w:rsid w:val="009D5F5D"/>
    <w:rsid w:val="009E5A8E"/>
    <w:rsid w:val="009E5D88"/>
    <w:rsid w:val="009F5123"/>
    <w:rsid w:val="009F726B"/>
    <w:rsid w:val="009F7CAF"/>
    <w:rsid w:val="00A05C82"/>
    <w:rsid w:val="00A10AEC"/>
    <w:rsid w:val="00A12A2F"/>
    <w:rsid w:val="00A14D99"/>
    <w:rsid w:val="00A169A7"/>
    <w:rsid w:val="00A1797D"/>
    <w:rsid w:val="00A247AD"/>
    <w:rsid w:val="00A3527A"/>
    <w:rsid w:val="00A36820"/>
    <w:rsid w:val="00A36CC8"/>
    <w:rsid w:val="00A409B8"/>
    <w:rsid w:val="00A4321B"/>
    <w:rsid w:val="00A46035"/>
    <w:rsid w:val="00A4733E"/>
    <w:rsid w:val="00A47F87"/>
    <w:rsid w:val="00A518F4"/>
    <w:rsid w:val="00A52D3D"/>
    <w:rsid w:val="00A55DA0"/>
    <w:rsid w:val="00A61BE5"/>
    <w:rsid w:val="00A645E6"/>
    <w:rsid w:val="00A64D06"/>
    <w:rsid w:val="00A65793"/>
    <w:rsid w:val="00A65CEE"/>
    <w:rsid w:val="00A66E5B"/>
    <w:rsid w:val="00A6753E"/>
    <w:rsid w:val="00A6759A"/>
    <w:rsid w:val="00A67910"/>
    <w:rsid w:val="00A721B2"/>
    <w:rsid w:val="00A7495B"/>
    <w:rsid w:val="00A76656"/>
    <w:rsid w:val="00A80F0A"/>
    <w:rsid w:val="00A857EB"/>
    <w:rsid w:val="00A85F18"/>
    <w:rsid w:val="00A86250"/>
    <w:rsid w:val="00A86A14"/>
    <w:rsid w:val="00A90527"/>
    <w:rsid w:val="00A91FE7"/>
    <w:rsid w:val="00AA1F4F"/>
    <w:rsid w:val="00AA6F1F"/>
    <w:rsid w:val="00AA7725"/>
    <w:rsid w:val="00AB317C"/>
    <w:rsid w:val="00AB62C3"/>
    <w:rsid w:val="00AB6E0E"/>
    <w:rsid w:val="00AC2060"/>
    <w:rsid w:val="00AC4E72"/>
    <w:rsid w:val="00AD1DA5"/>
    <w:rsid w:val="00AD1E6E"/>
    <w:rsid w:val="00AD1E82"/>
    <w:rsid w:val="00AD28DA"/>
    <w:rsid w:val="00AD2DA1"/>
    <w:rsid w:val="00AD648C"/>
    <w:rsid w:val="00AD7467"/>
    <w:rsid w:val="00AD79C6"/>
    <w:rsid w:val="00AE074E"/>
    <w:rsid w:val="00AE199C"/>
    <w:rsid w:val="00AE2AE6"/>
    <w:rsid w:val="00AE4789"/>
    <w:rsid w:val="00AE47ED"/>
    <w:rsid w:val="00AE6506"/>
    <w:rsid w:val="00AF09E6"/>
    <w:rsid w:val="00AF3FA5"/>
    <w:rsid w:val="00AF4521"/>
    <w:rsid w:val="00AF501F"/>
    <w:rsid w:val="00AF6C9B"/>
    <w:rsid w:val="00B0095B"/>
    <w:rsid w:val="00B04DE9"/>
    <w:rsid w:val="00B070A0"/>
    <w:rsid w:val="00B070FD"/>
    <w:rsid w:val="00B0757B"/>
    <w:rsid w:val="00B07D34"/>
    <w:rsid w:val="00B1057B"/>
    <w:rsid w:val="00B12B40"/>
    <w:rsid w:val="00B17EBD"/>
    <w:rsid w:val="00B20F7B"/>
    <w:rsid w:val="00B26027"/>
    <w:rsid w:val="00B31D5D"/>
    <w:rsid w:val="00B33322"/>
    <w:rsid w:val="00B33B88"/>
    <w:rsid w:val="00B40549"/>
    <w:rsid w:val="00B47C99"/>
    <w:rsid w:val="00B51963"/>
    <w:rsid w:val="00B54189"/>
    <w:rsid w:val="00B54AB4"/>
    <w:rsid w:val="00B556B8"/>
    <w:rsid w:val="00B60416"/>
    <w:rsid w:val="00B604D6"/>
    <w:rsid w:val="00B64D95"/>
    <w:rsid w:val="00B651FA"/>
    <w:rsid w:val="00B672B9"/>
    <w:rsid w:val="00B70934"/>
    <w:rsid w:val="00B70CD8"/>
    <w:rsid w:val="00B720A6"/>
    <w:rsid w:val="00B80250"/>
    <w:rsid w:val="00B8285A"/>
    <w:rsid w:val="00B83A74"/>
    <w:rsid w:val="00B85716"/>
    <w:rsid w:val="00B85B73"/>
    <w:rsid w:val="00B87E9A"/>
    <w:rsid w:val="00B92F45"/>
    <w:rsid w:val="00B942BA"/>
    <w:rsid w:val="00B947E7"/>
    <w:rsid w:val="00B94A72"/>
    <w:rsid w:val="00B96132"/>
    <w:rsid w:val="00B97934"/>
    <w:rsid w:val="00BA1639"/>
    <w:rsid w:val="00BA237C"/>
    <w:rsid w:val="00BA2A7D"/>
    <w:rsid w:val="00BA2D49"/>
    <w:rsid w:val="00BA3FE2"/>
    <w:rsid w:val="00BA440C"/>
    <w:rsid w:val="00BA70D8"/>
    <w:rsid w:val="00BA75CD"/>
    <w:rsid w:val="00BB017F"/>
    <w:rsid w:val="00BB3895"/>
    <w:rsid w:val="00BC336F"/>
    <w:rsid w:val="00BC7CF5"/>
    <w:rsid w:val="00BD4699"/>
    <w:rsid w:val="00BD5FB6"/>
    <w:rsid w:val="00BE162D"/>
    <w:rsid w:val="00BE647D"/>
    <w:rsid w:val="00BE6F3F"/>
    <w:rsid w:val="00BF62DB"/>
    <w:rsid w:val="00C01234"/>
    <w:rsid w:val="00C1071E"/>
    <w:rsid w:val="00C14563"/>
    <w:rsid w:val="00C26288"/>
    <w:rsid w:val="00C266AB"/>
    <w:rsid w:val="00C306E5"/>
    <w:rsid w:val="00C3275E"/>
    <w:rsid w:val="00C36DA7"/>
    <w:rsid w:val="00C373BE"/>
    <w:rsid w:val="00C37F7F"/>
    <w:rsid w:val="00C40DA4"/>
    <w:rsid w:val="00C43AD3"/>
    <w:rsid w:val="00C51CA7"/>
    <w:rsid w:val="00C520A8"/>
    <w:rsid w:val="00C52DCB"/>
    <w:rsid w:val="00C551DF"/>
    <w:rsid w:val="00C55C5E"/>
    <w:rsid w:val="00C62791"/>
    <w:rsid w:val="00C6698B"/>
    <w:rsid w:val="00C673EE"/>
    <w:rsid w:val="00C71A73"/>
    <w:rsid w:val="00C71E7F"/>
    <w:rsid w:val="00C71EE0"/>
    <w:rsid w:val="00C71FDC"/>
    <w:rsid w:val="00C739F0"/>
    <w:rsid w:val="00C75A88"/>
    <w:rsid w:val="00C851E1"/>
    <w:rsid w:val="00C85481"/>
    <w:rsid w:val="00C914EA"/>
    <w:rsid w:val="00C91EFA"/>
    <w:rsid w:val="00C965AB"/>
    <w:rsid w:val="00C96F6F"/>
    <w:rsid w:val="00CA05AE"/>
    <w:rsid w:val="00CA532F"/>
    <w:rsid w:val="00CA5F66"/>
    <w:rsid w:val="00CB414F"/>
    <w:rsid w:val="00CB7024"/>
    <w:rsid w:val="00CC11C5"/>
    <w:rsid w:val="00CC1CF7"/>
    <w:rsid w:val="00CC25C7"/>
    <w:rsid w:val="00CC3952"/>
    <w:rsid w:val="00CC4DC1"/>
    <w:rsid w:val="00CC6008"/>
    <w:rsid w:val="00CC68A9"/>
    <w:rsid w:val="00CC6B51"/>
    <w:rsid w:val="00CE08C8"/>
    <w:rsid w:val="00CE14D7"/>
    <w:rsid w:val="00CE1919"/>
    <w:rsid w:val="00CE21F8"/>
    <w:rsid w:val="00CE23BE"/>
    <w:rsid w:val="00CE398D"/>
    <w:rsid w:val="00CE4314"/>
    <w:rsid w:val="00CE46FD"/>
    <w:rsid w:val="00CF2FEE"/>
    <w:rsid w:val="00CF51FB"/>
    <w:rsid w:val="00CF6EE8"/>
    <w:rsid w:val="00D006C3"/>
    <w:rsid w:val="00D00C56"/>
    <w:rsid w:val="00D10D92"/>
    <w:rsid w:val="00D119A0"/>
    <w:rsid w:val="00D11B4C"/>
    <w:rsid w:val="00D11EC4"/>
    <w:rsid w:val="00D12F3D"/>
    <w:rsid w:val="00D14666"/>
    <w:rsid w:val="00D14AEC"/>
    <w:rsid w:val="00D1547E"/>
    <w:rsid w:val="00D15901"/>
    <w:rsid w:val="00D201BC"/>
    <w:rsid w:val="00D22CE3"/>
    <w:rsid w:val="00D23275"/>
    <w:rsid w:val="00D23F84"/>
    <w:rsid w:val="00D33401"/>
    <w:rsid w:val="00D34C4B"/>
    <w:rsid w:val="00D36D28"/>
    <w:rsid w:val="00D40659"/>
    <w:rsid w:val="00D411B9"/>
    <w:rsid w:val="00D42893"/>
    <w:rsid w:val="00D42C35"/>
    <w:rsid w:val="00D50BC9"/>
    <w:rsid w:val="00D53D19"/>
    <w:rsid w:val="00D60A8C"/>
    <w:rsid w:val="00D61CCF"/>
    <w:rsid w:val="00D62C22"/>
    <w:rsid w:val="00D72CBB"/>
    <w:rsid w:val="00D73771"/>
    <w:rsid w:val="00D805F2"/>
    <w:rsid w:val="00D849F2"/>
    <w:rsid w:val="00D86B4A"/>
    <w:rsid w:val="00D91068"/>
    <w:rsid w:val="00D919E6"/>
    <w:rsid w:val="00DA0274"/>
    <w:rsid w:val="00DA1746"/>
    <w:rsid w:val="00DA2FA3"/>
    <w:rsid w:val="00DA3682"/>
    <w:rsid w:val="00DA6C6C"/>
    <w:rsid w:val="00DB0F01"/>
    <w:rsid w:val="00DB1067"/>
    <w:rsid w:val="00DB2472"/>
    <w:rsid w:val="00DB37EB"/>
    <w:rsid w:val="00DB5915"/>
    <w:rsid w:val="00DB6959"/>
    <w:rsid w:val="00DB6F12"/>
    <w:rsid w:val="00DC2BF3"/>
    <w:rsid w:val="00DC38D0"/>
    <w:rsid w:val="00DC51BD"/>
    <w:rsid w:val="00DD4D5A"/>
    <w:rsid w:val="00DD5716"/>
    <w:rsid w:val="00DD67F0"/>
    <w:rsid w:val="00DE3189"/>
    <w:rsid w:val="00DE42A2"/>
    <w:rsid w:val="00DE46C2"/>
    <w:rsid w:val="00DE7768"/>
    <w:rsid w:val="00DF264D"/>
    <w:rsid w:val="00DF36FF"/>
    <w:rsid w:val="00DF4990"/>
    <w:rsid w:val="00DF63EE"/>
    <w:rsid w:val="00DF68F5"/>
    <w:rsid w:val="00DF71B6"/>
    <w:rsid w:val="00E012E1"/>
    <w:rsid w:val="00E01D3C"/>
    <w:rsid w:val="00E02421"/>
    <w:rsid w:val="00E04114"/>
    <w:rsid w:val="00E04AAE"/>
    <w:rsid w:val="00E06B5F"/>
    <w:rsid w:val="00E071C2"/>
    <w:rsid w:val="00E11B52"/>
    <w:rsid w:val="00E144C7"/>
    <w:rsid w:val="00E14D37"/>
    <w:rsid w:val="00E17484"/>
    <w:rsid w:val="00E23A93"/>
    <w:rsid w:val="00E24AE4"/>
    <w:rsid w:val="00E3123F"/>
    <w:rsid w:val="00E36E7C"/>
    <w:rsid w:val="00E40001"/>
    <w:rsid w:val="00E4342E"/>
    <w:rsid w:val="00E438C6"/>
    <w:rsid w:val="00E45144"/>
    <w:rsid w:val="00E509E0"/>
    <w:rsid w:val="00E50E80"/>
    <w:rsid w:val="00E529BD"/>
    <w:rsid w:val="00E54AA7"/>
    <w:rsid w:val="00E57238"/>
    <w:rsid w:val="00E61FBB"/>
    <w:rsid w:val="00E623F8"/>
    <w:rsid w:val="00E63DBA"/>
    <w:rsid w:val="00E6513F"/>
    <w:rsid w:val="00E66AC5"/>
    <w:rsid w:val="00E67C17"/>
    <w:rsid w:val="00E71786"/>
    <w:rsid w:val="00E71B14"/>
    <w:rsid w:val="00E75002"/>
    <w:rsid w:val="00E80674"/>
    <w:rsid w:val="00E80AE2"/>
    <w:rsid w:val="00E84FAB"/>
    <w:rsid w:val="00E85549"/>
    <w:rsid w:val="00E919B2"/>
    <w:rsid w:val="00E91AF6"/>
    <w:rsid w:val="00E92058"/>
    <w:rsid w:val="00E92CC8"/>
    <w:rsid w:val="00E96632"/>
    <w:rsid w:val="00EB10F9"/>
    <w:rsid w:val="00EB34C4"/>
    <w:rsid w:val="00EB6142"/>
    <w:rsid w:val="00EB656B"/>
    <w:rsid w:val="00EC2DCC"/>
    <w:rsid w:val="00EC75DA"/>
    <w:rsid w:val="00EC7927"/>
    <w:rsid w:val="00ED735C"/>
    <w:rsid w:val="00ED7C6B"/>
    <w:rsid w:val="00EE0F65"/>
    <w:rsid w:val="00EE1B32"/>
    <w:rsid w:val="00EE1F98"/>
    <w:rsid w:val="00EF4D66"/>
    <w:rsid w:val="00F01009"/>
    <w:rsid w:val="00F0178A"/>
    <w:rsid w:val="00F01F4D"/>
    <w:rsid w:val="00F033AB"/>
    <w:rsid w:val="00F068C9"/>
    <w:rsid w:val="00F155BF"/>
    <w:rsid w:val="00F24A86"/>
    <w:rsid w:val="00F254E3"/>
    <w:rsid w:val="00F25543"/>
    <w:rsid w:val="00F2580D"/>
    <w:rsid w:val="00F25EC7"/>
    <w:rsid w:val="00F266D4"/>
    <w:rsid w:val="00F300DF"/>
    <w:rsid w:val="00F30848"/>
    <w:rsid w:val="00F30FDF"/>
    <w:rsid w:val="00F33129"/>
    <w:rsid w:val="00F339E0"/>
    <w:rsid w:val="00F34295"/>
    <w:rsid w:val="00F348AC"/>
    <w:rsid w:val="00F348D7"/>
    <w:rsid w:val="00F352E8"/>
    <w:rsid w:val="00F402D0"/>
    <w:rsid w:val="00F41A6B"/>
    <w:rsid w:val="00F41AC7"/>
    <w:rsid w:val="00F440DB"/>
    <w:rsid w:val="00F543AB"/>
    <w:rsid w:val="00F57FA1"/>
    <w:rsid w:val="00F65C58"/>
    <w:rsid w:val="00F73068"/>
    <w:rsid w:val="00F7556E"/>
    <w:rsid w:val="00F770B2"/>
    <w:rsid w:val="00F80D75"/>
    <w:rsid w:val="00F81288"/>
    <w:rsid w:val="00F830C6"/>
    <w:rsid w:val="00F9145B"/>
    <w:rsid w:val="00F91AB4"/>
    <w:rsid w:val="00F92311"/>
    <w:rsid w:val="00FB1097"/>
    <w:rsid w:val="00FB326C"/>
    <w:rsid w:val="00FB3284"/>
    <w:rsid w:val="00FB350A"/>
    <w:rsid w:val="00FB3795"/>
    <w:rsid w:val="00FB5DDB"/>
    <w:rsid w:val="00FB6CD7"/>
    <w:rsid w:val="00FC07D2"/>
    <w:rsid w:val="00FC69AC"/>
    <w:rsid w:val="00FE0897"/>
    <w:rsid w:val="00FE621D"/>
    <w:rsid w:val="00FF3709"/>
    <w:rsid w:val="00FF3829"/>
    <w:rsid w:val="00FF68D2"/>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39951F"/>
  <w15:docId w15:val="{0B8CF0BB-3B36-4E19-B4E4-4B13BAA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8D1FD4"/>
    <w:pPr>
      <w:keepNext/>
      <w:spacing w:before="240"/>
      <w:outlineLvl w:val="0"/>
    </w:pPr>
    <w:rPr>
      <w:b/>
      <w:sz w:val="28"/>
      <w:szCs w:val="20"/>
    </w:rPr>
  </w:style>
  <w:style w:type="paragraph" w:styleId="Heading2">
    <w:name w:val="heading 2"/>
    <w:basedOn w:val="Normal"/>
    <w:next w:val="Normal"/>
    <w:link w:val="Heading2Char"/>
    <w:qFormat/>
    <w:rsid w:val="008D1FD4"/>
    <w:pPr>
      <w:keepNext/>
      <w:outlineLvl w:val="1"/>
    </w:pPr>
    <w:rPr>
      <w:rFonts w:ascii="Calibri" w:hAnsi="Calibri" w:cs="Arial"/>
      <w:b/>
      <w:bCs/>
      <w:sz w:val="24"/>
    </w:rPr>
  </w:style>
  <w:style w:type="paragraph" w:styleId="Heading3">
    <w:name w:val="heading 3"/>
    <w:basedOn w:val="E-mailSignature"/>
    <w:next w:val="Normal"/>
    <w:link w:val="Heading3Char"/>
    <w:qFormat/>
    <w:rsid w:val="008D1FD4"/>
    <w:pPr>
      <w:keepNext/>
      <w:outlineLvl w:val="2"/>
    </w:pPr>
    <w:rPr>
      <w:bCs/>
      <w:i/>
    </w:rPr>
  </w:style>
  <w:style w:type="paragraph" w:styleId="Heading4">
    <w:name w:val="heading 4"/>
    <w:basedOn w:val="Normal"/>
    <w:next w:val="Normal"/>
    <w:link w:val="Heading4Char"/>
    <w:qFormat/>
    <w:rsid w:val="00FC07D2"/>
    <w:pPr>
      <w:keepNext/>
      <w:spacing w:after="0"/>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FD4"/>
    <w:rPr>
      <w:rFonts w:asciiTheme="minorHAnsi" w:hAnsiTheme="minorHAnsi"/>
      <w:b/>
      <w:sz w:val="28"/>
    </w:rPr>
  </w:style>
  <w:style w:type="character" w:customStyle="1" w:styleId="Heading2Char">
    <w:name w:val="Heading 2 Char"/>
    <w:basedOn w:val="DefaultParagraphFont"/>
    <w:link w:val="Heading2"/>
    <w:rsid w:val="008D1FD4"/>
    <w:rPr>
      <w:rFonts w:ascii="Calibri" w:hAnsi="Calibri" w:cs="Arial"/>
      <w:b/>
      <w:bCs/>
      <w:sz w:val="24"/>
      <w:szCs w:val="24"/>
    </w:rPr>
  </w:style>
  <w:style w:type="character" w:customStyle="1" w:styleId="Heading3Char">
    <w:name w:val="Heading 3 Char"/>
    <w:basedOn w:val="DefaultParagraphFont"/>
    <w:link w:val="Heading3"/>
    <w:rsid w:val="008D1FD4"/>
    <w:rPr>
      <w:rFonts w:asciiTheme="minorHAnsi" w:hAnsiTheme="minorHAnsi"/>
      <w:bCs/>
      <w:i/>
      <w:sz w:val="22"/>
      <w:szCs w:val="24"/>
    </w:rPr>
  </w:style>
  <w:style w:type="character" w:customStyle="1" w:styleId="Heading4Char">
    <w:name w:val="Heading 4 Char"/>
    <w:basedOn w:val="DefaultParagraphFont"/>
    <w:link w:val="Heading4"/>
    <w:rsid w:val="00FC07D2"/>
    <w:rPr>
      <w:rFonts w:asciiTheme="minorHAnsi" w:hAnsiTheme="minorHAnsi"/>
      <w:b/>
      <w:bCs/>
      <w:i/>
      <w:iCs/>
      <w:sz w:val="22"/>
      <w:szCs w:val="24"/>
      <w:u w:val="single"/>
    </w:rPr>
  </w:style>
  <w:style w:type="paragraph" w:styleId="Title">
    <w:name w:val="Title"/>
    <w:basedOn w:val="Normal"/>
    <w:link w:val="TitleChar"/>
    <w:uiPriority w:val="10"/>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uiPriority w:val="10"/>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CommentReference">
    <w:name w:val="annotation reference"/>
    <w:basedOn w:val="DefaultParagraphFont"/>
    <w:uiPriority w:val="99"/>
    <w:semiHidden/>
    <w:unhideWhenUsed/>
    <w:rsid w:val="00737776"/>
    <w:rPr>
      <w:sz w:val="16"/>
      <w:szCs w:val="16"/>
    </w:rPr>
  </w:style>
  <w:style w:type="paragraph" w:styleId="CommentText">
    <w:name w:val="annotation text"/>
    <w:basedOn w:val="Normal"/>
    <w:link w:val="CommentTextChar"/>
    <w:uiPriority w:val="99"/>
    <w:semiHidden/>
    <w:unhideWhenUsed/>
    <w:rsid w:val="00737776"/>
    <w:rPr>
      <w:sz w:val="20"/>
      <w:szCs w:val="20"/>
    </w:rPr>
  </w:style>
  <w:style w:type="character" w:customStyle="1" w:styleId="CommentTextChar">
    <w:name w:val="Comment Text Char"/>
    <w:basedOn w:val="DefaultParagraphFont"/>
    <w:link w:val="CommentText"/>
    <w:uiPriority w:val="99"/>
    <w:semiHidden/>
    <w:rsid w:val="0073777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37776"/>
    <w:rPr>
      <w:b/>
      <w:bCs/>
    </w:rPr>
  </w:style>
  <w:style w:type="character" w:customStyle="1" w:styleId="CommentSubjectChar">
    <w:name w:val="Comment Subject Char"/>
    <w:basedOn w:val="CommentTextChar"/>
    <w:link w:val="CommentSubject"/>
    <w:uiPriority w:val="99"/>
    <w:semiHidden/>
    <w:rsid w:val="00737776"/>
    <w:rPr>
      <w:rFonts w:asciiTheme="minorHAnsi" w:hAnsiTheme="minorHAnsi"/>
      <w:b/>
      <w:bCs/>
    </w:rPr>
  </w:style>
  <w:style w:type="character" w:customStyle="1" w:styleId="zzmpTrailerItem">
    <w:name w:val="zzmpTrailerItem"/>
    <w:rsid w:val="00AD7467"/>
    <w:rPr>
      <w:rFonts w:ascii="Calibri" w:hAnsi="Calibri"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unhideWhenUsed/>
    <w:rsid w:val="007E6141"/>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7E6141"/>
  </w:style>
  <w:style w:type="character" w:styleId="FootnoteReference">
    <w:name w:val="footnote reference"/>
    <w:basedOn w:val="DefaultParagraphFont"/>
    <w:uiPriority w:val="99"/>
    <w:semiHidden/>
    <w:unhideWhenUsed/>
    <w:rsid w:val="007E6141"/>
    <w:rPr>
      <w:vertAlign w:val="superscript"/>
    </w:rPr>
  </w:style>
  <w:style w:type="paragraph" w:styleId="BodyText">
    <w:name w:val="Body Text"/>
    <w:aliases w:val="b"/>
    <w:basedOn w:val="Normal"/>
    <w:link w:val="BodyTextChar"/>
    <w:rsid w:val="003A688C"/>
    <w:pPr>
      <w:widowControl w:val="0"/>
      <w:spacing w:after="240"/>
      <w:ind w:firstLine="720"/>
    </w:pPr>
    <w:rPr>
      <w:rFonts w:ascii="Times New Roman" w:hAnsi="Times New Roman"/>
      <w:sz w:val="24"/>
      <w:szCs w:val="20"/>
    </w:rPr>
  </w:style>
  <w:style w:type="character" w:customStyle="1" w:styleId="BodyTextChar">
    <w:name w:val="Body Text Char"/>
    <w:aliases w:val="b Char"/>
    <w:basedOn w:val="DefaultParagraphFont"/>
    <w:link w:val="BodyText"/>
    <w:rsid w:val="003A688C"/>
    <w:rPr>
      <w:sz w:val="24"/>
    </w:rPr>
  </w:style>
  <w:style w:type="paragraph" w:styleId="Revision">
    <w:name w:val="Revision"/>
    <w:hidden/>
    <w:uiPriority w:val="99"/>
    <w:semiHidden/>
    <w:rsid w:val="00710F5F"/>
    <w:rPr>
      <w:rFonts w:asciiTheme="minorHAnsi" w:hAnsiTheme="minorHAnsi"/>
      <w:sz w:val="22"/>
      <w:szCs w:val="24"/>
    </w:rPr>
  </w:style>
  <w:style w:type="paragraph" w:customStyle="1" w:styleId="Heading">
    <w:name w:val="Heading"/>
    <w:basedOn w:val="ListParagraph"/>
    <w:rsid w:val="00E623F8"/>
    <w:pPr>
      <w:numPr>
        <w:numId w:val="1"/>
      </w:numPr>
      <w:jc w:val="both"/>
    </w:pPr>
    <w:rPr>
      <w:b/>
    </w:rPr>
  </w:style>
  <w:style w:type="paragraph" w:styleId="TOCHeading">
    <w:name w:val="TOC Heading"/>
    <w:basedOn w:val="Heading1"/>
    <w:next w:val="Normal"/>
    <w:uiPriority w:val="39"/>
    <w:unhideWhenUsed/>
    <w:qFormat/>
    <w:rsid w:val="00671D17"/>
    <w:pPr>
      <w:keepLines/>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qFormat/>
    <w:rsid w:val="004900FB"/>
    <w:pPr>
      <w:spacing w:before="120"/>
    </w:pPr>
    <w:rPr>
      <w:b/>
      <w:bCs/>
      <w:caps/>
      <w:sz w:val="20"/>
      <w:szCs w:val="20"/>
    </w:rPr>
  </w:style>
  <w:style w:type="paragraph" w:styleId="TOC2">
    <w:name w:val="toc 2"/>
    <w:basedOn w:val="Normal"/>
    <w:next w:val="Normal"/>
    <w:autoRedefine/>
    <w:uiPriority w:val="39"/>
    <w:unhideWhenUsed/>
    <w:qFormat/>
    <w:rsid w:val="00B51963"/>
    <w:pPr>
      <w:tabs>
        <w:tab w:val="left" w:pos="630"/>
        <w:tab w:val="right" w:leader="dot" w:pos="10214"/>
      </w:tabs>
      <w:spacing w:after="0"/>
      <w:ind w:left="220"/>
    </w:pPr>
    <w:rPr>
      <w:smallCaps/>
      <w:sz w:val="20"/>
      <w:szCs w:val="20"/>
    </w:rPr>
  </w:style>
  <w:style w:type="table" w:styleId="MediumShading1-Accent1">
    <w:name w:val="Medium Shading 1 Accent 1"/>
    <w:basedOn w:val="TableNormal"/>
    <w:uiPriority w:val="63"/>
    <w:rsid w:val="003913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E80AE2"/>
    <w:rPr>
      <w:rFonts w:asciiTheme="minorHAnsi" w:hAnsiTheme="minorHAnsi"/>
      <w:i/>
      <w:iCs/>
      <w:color w:val="404040" w:themeColor="text1" w:themeTint="BF"/>
      <w:sz w:val="24"/>
    </w:rPr>
  </w:style>
  <w:style w:type="table" w:styleId="LightList-Accent1">
    <w:name w:val="Light List Accent 1"/>
    <w:basedOn w:val="TableNormal"/>
    <w:uiPriority w:val="61"/>
    <w:rsid w:val="00105D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F255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3">
    <w:name w:val="toc 3"/>
    <w:basedOn w:val="Normal"/>
    <w:next w:val="Normal"/>
    <w:autoRedefine/>
    <w:uiPriority w:val="39"/>
    <w:unhideWhenUsed/>
    <w:qFormat/>
    <w:rsid w:val="00AA1F4F"/>
    <w:pPr>
      <w:spacing w:after="0"/>
      <w:ind w:left="440"/>
    </w:pPr>
    <w:rPr>
      <w:i/>
      <w:iCs/>
      <w:sz w:val="20"/>
      <w:szCs w:val="20"/>
    </w:rPr>
  </w:style>
  <w:style w:type="paragraph" w:styleId="Caption">
    <w:name w:val="caption"/>
    <w:basedOn w:val="Normal"/>
    <w:next w:val="Normal"/>
    <w:unhideWhenUsed/>
    <w:qFormat/>
    <w:rsid w:val="009810FD"/>
    <w:pPr>
      <w:spacing w:after="200"/>
    </w:pPr>
    <w:rPr>
      <w:b/>
      <w:bCs/>
      <w:color w:val="4F81BD" w:themeColor="accent1"/>
      <w:sz w:val="18"/>
      <w:szCs w:val="18"/>
    </w:rPr>
  </w:style>
  <w:style w:type="paragraph" w:customStyle="1" w:styleId="Bullet-1stLevel">
    <w:name w:val="Bullet - 1st Level"/>
    <w:basedOn w:val="Normal"/>
    <w:qFormat/>
    <w:rsid w:val="00C71EE0"/>
    <w:pPr>
      <w:numPr>
        <w:numId w:val="6"/>
      </w:numPr>
      <w:tabs>
        <w:tab w:val="num" w:pos="360"/>
      </w:tabs>
      <w:spacing w:after="240"/>
      <w:ind w:left="0" w:firstLine="0"/>
    </w:pPr>
    <w:rPr>
      <w:rFonts w:ascii="Calibri" w:eastAsia="MS Mincho" w:hAnsi="Calibri"/>
      <w:sz w:val="24"/>
    </w:rPr>
  </w:style>
  <w:style w:type="paragraph" w:styleId="TableofFigures">
    <w:name w:val="table of figures"/>
    <w:basedOn w:val="Normal"/>
    <w:next w:val="Normal"/>
    <w:uiPriority w:val="99"/>
    <w:unhideWhenUsed/>
    <w:rsid w:val="00CC11C5"/>
    <w:pPr>
      <w:spacing w:after="0"/>
      <w:ind w:left="440" w:hanging="440"/>
    </w:pPr>
    <w:rPr>
      <w:smallCaps/>
      <w:sz w:val="20"/>
      <w:szCs w:val="20"/>
    </w:rPr>
  </w:style>
  <w:style w:type="paragraph" w:customStyle="1" w:styleId="Default">
    <w:name w:val="Default"/>
    <w:rsid w:val="008D6709"/>
    <w:pPr>
      <w:autoSpaceDE w:val="0"/>
      <w:autoSpaceDN w:val="0"/>
      <w:adjustRightInd w:val="0"/>
    </w:pPr>
    <w:rPr>
      <w:color w:val="000000"/>
      <w:sz w:val="24"/>
      <w:szCs w:val="24"/>
    </w:rPr>
  </w:style>
  <w:style w:type="table" w:customStyle="1" w:styleId="MediumShading1-Accent11">
    <w:name w:val="Medium Shading 1 - Accent 11"/>
    <w:basedOn w:val="TableNormal"/>
    <w:next w:val="MediumShading1-Accent1"/>
    <w:uiPriority w:val="63"/>
    <w:rsid w:val="00311C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unhideWhenUsed/>
    <w:rsid w:val="00C96F6F"/>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96F6F"/>
    <w:rPr>
      <w:rFonts w:ascii="Calibri" w:eastAsiaTheme="minorHAnsi" w:hAnsi="Calibri" w:cstheme="minorBidi"/>
      <w:sz w:val="22"/>
      <w:szCs w:val="21"/>
    </w:rPr>
  </w:style>
  <w:style w:type="character" w:styleId="SubtleReference">
    <w:name w:val="Subtle Reference"/>
    <w:basedOn w:val="DefaultParagraphFont"/>
    <w:uiPriority w:val="31"/>
    <w:qFormat/>
    <w:rsid w:val="006861B7"/>
    <w:rPr>
      <w:smallCaps/>
      <w:color w:val="auto"/>
      <w:bdr w:val="none" w:sz="0" w:space="0" w:color="auto"/>
    </w:rPr>
  </w:style>
  <w:style w:type="character" w:styleId="Strong">
    <w:name w:val="Strong"/>
    <w:basedOn w:val="DefaultParagraphFont"/>
    <w:qFormat/>
    <w:rsid w:val="006861B7"/>
    <w:rPr>
      <w:b/>
      <w:bCs/>
    </w:rPr>
  </w:style>
  <w:style w:type="paragraph" w:styleId="NormalWeb">
    <w:name w:val="Normal (Web)"/>
    <w:basedOn w:val="Normal"/>
    <w:uiPriority w:val="99"/>
    <w:semiHidden/>
    <w:unhideWhenUsed/>
    <w:rsid w:val="006861B7"/>
    <w:pPr>
      <w:spacing w:before="100" w:beforeAutospacing="1" w:after="100" w:afterAutospacing="1"/>
    </w:pPr>
    <w:rPr>
      <w:rFonts w:ascii="Times New Roman" w:eastAsiaTheme="minorEastAsia" w:hAnsi="Times New Roman"/>
      <w:sz w:val="24"/>
    </w:rPr>
  </w:style>
  <w:style w:type="paragraph" w:styleId="TOC4">
    <w:name w:val="toc 4"/>
    <w:basedOn w:val="Normal"/>
    <w:next w:val="Normal"/>
    <w:autoRedefine/>
    <w:uiPriority w:val="39"/>
    <w:unhideWhenUsed/>
    <w:rsid w:val="00842071"/>
    <w:pPr>
      <w:spacing w:after="0"/>
      <w:ind w:left="660"/>
    </w:pPr>
    <w:rPr>
      <w:sz w:val="18"/>
      <w:szCs w:val="18"/>
    </w:rPr>
  </w:style>
  <w:style w:type="paragraph" w:styleId="TOC5">
    <w:name w:val="toc 5"/>
    <w:basedOn w:val="Normal"/>
    <w:next w:val="Normal"/>
    <w:autoRedefine/>
    <w:uiPriority w:val="39"/>
    <w:unhideWhenUsed/>
    <w:rsid w:val="00842071"/>
    <w:pPr>
      <w:spacing w:after="0"/>
      <w:ind w:left="880"/>
    </w:pPr>
    <w:rPr>
      <w:sz w:val="18"/>
      <w:szCs w:val="18"/>
    </w:rPr>
  </w:style>
  <w:style w:type="paragraph" w:styleId="TOC6">
    <w:name w:val="toc 6"/>
    <w:basedOn w:val="Normal"/>
    <w:next w:val="Normal"/>
    <w:autoRedefine/>
    <w:uiPriority w:val="39"/>
    <w:unhideWhenUsed/>
    <w:rsid w:val="00842071"/>
    <w:pPr>
      <w:spacing w:after="0"/>
      <w:ind w:left="1100"/>
    </w:pPr>
    <w:rPr>
      <w:sz w:val="18"/>
      <w:szCs w:val="18"/>
    </w:rPr>
  </w:style>
  <w:style w:type="paragraph" w:styleId="TOC7">
    <w:name w:val="toc 7"/>
    <w:basedOn w:val="Normal"/>
    <w:next w:val="Normal"/>
    <w:autoRedefine/>
    <w:uiPriority w:val="39"/>
    <w:unhideWhenUsed/>
    <w:rsid w:val="00842071"/>
    <w:pPr>
      <w:spacing w:after="0"/>
      <w:ind w:left="1320"/>
    </w:pPr>
    <w:rPr>
      <w:sz w:val="18"/>
      <w:szCs w:val="18"/>
    </w:rPr>
  </w:style>
  <w:style w:type="paragraph" w:styleId="TOC8">
    <w:name w:val="toc 8"/>
    <w:basedOn w:val="Normal"/>
    <w:next w:val="Normal"/>
    <w:autoRedefine/>
    <w:uiPriority w:val="39"/>
    <w:unhideWhenUsed/>
    <w:rsid w:val="00842071"/>
    <w:pPr>
      <w:spacing w:after="0"/>
      <w:ind w:left="1540"/>
    </w:pPr>
    <w:rPr>
      <w:sz w:val="18"/>
      <w:szCs w:val="18"/>
    </w:rPr>
  </w:style>
  <w:style w:type="paragraph" w:styleId="TOC9">
    <w:name w:val="toc 9"/>
    <w:basedOn w:val="Normal"/>
    <w:next w:val="Normal"/>
    <w:autoRedefine/>
    <w:uiPriority w:val="39"/>
    <w:unhideWhenUsed/>
    <w:rsid w:val="00842071"/>
    <w:pPr>
      <w:spacing w:after="0"/>
      <w:ind w:left="1760"/>
    </w:pPr>
    <w:rPr>
      <w:sz w:val="18"/>
      <w:szCs w:val="18"/>
    </w:rPr>
  </w:style>
  <w:style w:type="character" w:styleId="IntenseEmphasis">
    <w:name w:val="Intense Emphasis"/>
    <w:basedOn w:val="DefaultParagraphFont"/>
    <w:uiPriority w:val="21"/>
    <w:qFormat/>
    <w:rsid w:val="008D1FD4"/>
    <w:rPr>
      <w:i/>
      <w:iCs/>
      <w:color w:val="4F81BD" w:themeColor="accent1"/>
    </w:rPr>
  </w:style>
  <w:style w:type="character" w:styleId="IntenseReference">
    <w:name w:val="Intense Reference"/>
    <w:basedOn w:val="DefaultParagraphFont"/>
    <w:uiPriority w:val="32"/>
    <w:qFormat/>
    <w:rsid w:val="008D1FD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198">
      <w:bodyDiv w:val="1"/>
      <w:marLeft w:val="0"/>
      <w:marRight w:val="0"/>
      <w:marTop w:val="0"/>
      <w:marBottom w:val="0"/>
      <w:divBdr>
        <w:top w:val="none" w:sz="0" w:space="0" w:color="auto"/>
        <w:left w:val="none" w:sz="0" w:space="0" w:color="auto"/>
        <w:bottom w:val="none" w:sz="0" w:space="0" w:color="auto"/>
        <w:right w:val="none" w:sz="0" w:space="0" w:color="auto"/>
      </w:divBdr>
    </w:div>
    <w:div w:id="90858376">
      <w:bodyDiv w:val="1"/>
      <w:marLeft w:val="0"/>
      <w:marRight w:val="0"/>
      <w:marTop w:val="0"/>
      <w:marBottom w:val="0"/>
      <w:divBdr>
        <w:top w:val="none" w:sz="0" w:space="0" w:color="auto"/>
        <w:left w:val="none" w:sz="0" w:space="0" w:color="auto"/>
        <w:bottom w:val="none" w:sz="0" w:space="0" w:color="auto"/>
        <w:right w:val="none" w:sz="0" w:space="0" w:color="auto"/>
      </w:divBdr>
    </w:div>
    <w:div w:id="156965852">
      <w:bodyDiv w:val="1"/>
      <w:marLeft w:val="0"/>
      <w:marRight w:val="0"/>
      <w:marTop w:val="0"/>
      <w:marBottom w:val="0"/>
      <w:divBdr>
        <w:top w:val="none" w:sz="0" w:space="0" w:color="auto"/>
        <w:left w:val="none" w:sz="0" w:space="0" w:color="auto"/>
        <w:bottom w:val="none" w:sz="0" w:space="0" w:color="auto"/>
        <w:right w:val="none" w:sz="0" w:space="0" w:color="auto"/>
      </w:divBdr>
    </w:div>
    <w:div w:id="182519379">
      <w:bodyDiv w:val="1"/>
      <w:marLeft w:val="0"/>
      <w:marRight w:val="0"/>
      <w:marTop w:val="0"/>
      <w:marBottom w:val="0"/>
      <w:divBdr>
        <w:top w:val="none" w:sz="0" w:space="0" w:color="auto"/>
        <w:left w:val="none" w:sz="0" w:space="0" w:color="auto"/>
        <w:bottom w:val="none" w:sz="0" w:space="0" w:color="auto"/>
        <w:right w:val="none" w:sz="0" w:space="0" w:color="auto"/>
      </w:divBdr>
    </w:div>
    <w:div w:id="184633030">
      <w:bodyDiv w:val="1"/>
      <w:marLeft w:val="0"/>
      <w:marRight w:val="0"/>
      <w:marTop w:val="0"/>
      <w:marBottom w:val="0"/>
      <w:divBdr>
        <w:top w:val="none" w:sz="0" w:space="0" w:color="auto"/>
        <w:left w:val="none" w:sz="0" w:space="0" w:color="auto"/>
        <w:bottom w:val="none" w:sz="0" w:space="0" w:color="auto"/>
        <w:right w:val="none" w:sz="0" w:space="0" w:color="auto"/>
      </w:divBdr>
    </w:div>
    <w:div w:id="195699920">
      <w:bodyDiv w:val="1"/>
      <w:marLeft w:val="0"/>
      <w:marRight w:val="0"/>
      <w:marTop w:val="0"/>
      <w:marBottom w:val="0"/>
      <w:divBdr>
        <w:top w:val="none" w:sz="0" w:space="0" w:color="auto"/>
        <w:left w:val="none" w:sz="0" w:space="0" w:color="auto"/>
        <w:bottom w:val="none" w:sz="0" w:space="0" w:color="auto"/>
        <w:right w:val="none" w:sz="0" w:space="0" w:color="auto"/>
      </w:divBdr>
      <w:divsChild>
        <w:div w:id="372316019">
          <w:marLeft w:val="1267"/>
          <w:marRight w:val="0"/>
          <w:marTop w:val="0"/>
          <w:marBottom w:val="160"/>
          <w:divBdr>
            <w:top w:val="none" w:sz="0" w:space="0" w:color="auto"/>
            <w:left w:val="none" w:sz="0" w:space="0" w:color="auto"/>
            <w:bottom w:val="none" w:sz="0" w:space="0" w:color="auto"/>
            <w:right w:val="none" w:sz="0" w:space="0" w:color="auto"/>
          </w:divBdr>
        </w:div>
        <w:div w:id="719524448">
          <w:marLeft w:val="1267"/>
          <w:marRight w:val="0"/>
          <w:marTop w:val="0"/>
          <w:marBottom w:val="160"/>
          <w:divBdr>
            <w:top w:val="none" w:sz="0" w:space="0" w:color="auto"/>
            <w:left w:val="none" w:sz="0" w:space="0" w:color="auto"/>
            <w:bottom w:val="none" w:sz="0" w:space="0" w:color="auto"/>
            <w:right w:val="none" w:sz="0" w:space="0" w:color="auto"/>
          </w:divBdr>
        </w:div>
        <w:div w:id="886725508">
          <w:marLeft w:val="1267"/>
          <w:marRight w:val="0"/>
          <w:marTop w:val="0"/>
          <w:marBottom w:val="160"/>
          <w:divBdr>
            <w:top w:val="none" w:sz="0" w:space="0" w:color="auto"/>
            <w:left w:val="none" w:sz="0" w:space="0" w:color="auto"/>
            <w:bottom w:val="none" w:sz="0" w:space="0" w:color="auto"/>
            <w:right w:val="none" w:sz="0" w:space="0" w:color="auto"/>
          </w:divBdr>
        </w:div>
        <w:div w:id="1001812345">
          <w:marLeft w:val="1267"/>
          <w:marRight w:val="0"/>
          <w:marTop w:val="0"/>
          <w:marBottom w:val="160"/>
          <w:divBdr>
            <w:top w:val="none" w:sz="0" w:space="0" w:color="auto"/>
            <w:left w:val="none" w:sz="0" w:space="0" w:color="auto"/>
            <w:bottom w:val="none" w:sz="0" w:space="0" w:color="auto"/>
            <w:right w:val="none" w:sz="0" w:space="0" w:color="auto"/>
          </w:divBdr>
        </w:div>
        <w:div w:id="2134204857">
          <w:marLeft w:val="1267"/>
          <w:marRight w:val="0"/>
          <w:marTop w:val="0"/>
          <w:marBottom w:val="160"/>
          <w:divBdr>
            <w:top w:val="none" w:sz="0" w:space="0" w:color="auto"/>
            <w:left w:val="none" w:sz="0" w:space="0" w:color="auto"/>
            <w:bottom w:val="none" w:sz="0" w:space="0" w:color="auto"/>
            <w:right w:val="none" w:sz="0" w:space="0" w:color="auto"/>
          </w:divBdr>
        </w:div>
      </w:divsChild>
    </w:div>
    <w:div w:id="367801456">
      <w:bodyDiv w:val="1"/>
      <w:marLeft w:val="0"/>
      <w:marRight w:val="0"/>
      <w:marTop w:val="0"/>
      <w:marBottom w:val="0"/>
      <w:divBdr>
        <w:top w:val="none" w:sz="0" w:space="0" w:color="auto"/>
        <w:left w:val="none" w:sz="0" w:space="0" w:color="auto"/>
        <w:bottom w:val="none" w:sz="0" w:space="0" w:color="auto"/>
        <w:right w:val="none" w:sz="0" w:space="0" w:color="auto"/>
      </w:divBdr>
    </w:div>
    <w:div w:id="388306950">
      <w:bodyDiv w:val="1"/>
      <w:marLeft w:val="0"/>
      <w:marRight w:val="0"/>
      <w:marTop w:val="0"/>
      <w:marBottom w:val="0"/>
      <w:divBdr>
        <w:top w:val="none" w:sz="0" w:space="0" w:color="auto"/>
        <w:left w:val="none" w:sz="0" w:space="0" w:color="auto"/>
        <w:bottom w:val="none" w:sz="0" w:space="0" w:color="auto"/>
        <w:right w:val="none" w:sz="0" w:space="0" w:color="auto"/>
      </w:divBdr>
    </w:div>
    <w:div w:id="428352535">
      <w:bodyDiv w:val="1"/>
      <w:marLeft w:val="0"/>
      <w:marRight w:val="0"/>
      <w:marTop w:val="0"/>
      <w:marBottom w:val="0"/>
      <w:divBdr>
        <w:top w:val="none" w:sz="0" w:space="0" w:color="auto"/>
        <w:left w:val="none" w:sz="0" w:space="0" w:color="auto"/>
        <w:bottom w:val="none" w:sz="0" w:space="0" w:color="auto"/>
        <w:right w:val="none" w:sz="0" w:space="0" w:color="auto"/>
      </w:divBdr>
    </w:div>
    <w:div w:id="585773887">
      <w:bodyDiv w:val="1"/>
      <w:marLeft w:val="0"/>
      <w:marRight w:val="0"/>
      <w:marTop w:val="0"/>
      <w:marBottom w:val="0"/>
      <w:divBdr>
        <w:top w:val="none" w:sz="0" w:space="0" w:color="auto"/>
        <w:left w:val="none" w:sz="0" w:space="0" w:color="auto"/>
        <w:bottom w:val="none" w:sz="0" w:space="0" w:color="auto"/>
        <w:right w:val="none" w:sz="0" w:space="0" w:color="auto"/>
      </w:divBdr>
    </w:div>
    <w:div w:id="761799028">
      <w:bodyDiv w:val="1"/>
      <w:marLeft w:val="0"/>
      <w:marRight w:val="0"/>
      <w:marTop w:val="0"/>
      <w:marBottom w:val="0"/>
      <w:divBdr>
        <w:top w:val="none" w:sz="0" w:space="0" w:color="auto"/>
        <w:left w:val="none" w:sz="0" w:space="0" w:color="auto"/>
        <w:bottom w:val="none" w:sz="0" w:space="0" w:color="auto"/>
        <w:right w:val="none" w:sz="0" w:space="0" w:color="auto"/>
      </w:divBdr>
    </w:div>
    <w:div w:id="1077633738">
      <w:bodyDiv w:val="1"/>
      <w:marLeft w:val="0"/>
      <w:marRight w:val="0"/>
      <w:marTop w:val="0"/>
      <w:marBottom w:val="0"/>
      <w:divBdr>
        <w:top w:val="none" w:sz="0" w:space="0" w:color="auto"/>
        <w:left w:val="none" w:sz="0" w:space="0" w:color="auto"/>
        <w:bottom w:val="none" w:sz="0" w:space="0" w:color="auto"/>
        <w:right w:val="none" w:sz="0" w:space="0" w:color="auto"/>
      </w:divBdr>
      <w:divsChild>
        <w:div w:id="1184251036">
          <w:marLeft w:val="0"/>
          <w:marRight w:val="0"/>
          <w:marTop w:val="0"/>
          <w:marBottom w:val="0"/>
          <w:divBdr>
            <w:top w:val="none" w:sz="0" w:space="0" w:color="auto"/>
            <w:left w:val="none" w:sz="0" w:space="0" w:color="auto"/>
            <w:bottom w:val="none" w:sz="0" w:space="0" w:color="auto"/>
            <w:right w:val="none" w:sz="0" w:space="0" w:color="auto"/>
          </w:divBdr>
          <w:divsChild>
            <w:div w:id="241258186">
              <w:marLeft w:val="0"/>
              <w:marRight w:val="0"/>
              <w:marTop w:val="0"/>
              <w:marBottom w:val="0"/>
              <w:divBdr>
                <w:top w:val="none" w:sz="0" w:space="0" w:color="auto"/>
                <w:left w:val="none" w:sz="0" w:space="0" w:color="auto"/>
                <w:bottom w:val="none" w:sz="0" w:space="0" w:color="auto"/>
                <w:right w:val="none" w:sz="0" w:space="0" w:color="auto"/>
              </w:divBdr>
              <w:divsChild>
                <w:div w:id="2050299229">
                  <w:marLeft w:val="0"/>
                  <w:marRight w:val="0"/>
                  <w:marTop w:val="0"/>
                  <w:marBottom w:val="0"/>
                  <w:divBdr>
                    <w:top w:val="none" w:sz="0" w:space="0" w:color="auto"/>
                    <w:left w:val="none" w:sz="0" w:space="0" w:color="auto"/>
                    <w:bottom w:val="none" w:sz="0" w:space="0" w:color="auto"/>
                    <w:right w:val="none" w:sz="0" w:space="0" w:color="auto"/>
                  </w:divBdr>
                  <w:divsChild>
                    <w:div w:id="1864399487">
                      <w:marLeft w:val="0"/>
                      <w:marRight w:val="0"/>
                      <w:marTop w:val="0"/>
                      <w:marBottom w:val="0"/>
                      <w:divBdr>
                        <w:top w:val="none" w:sz="0" w:space="0" w:color="auto"/>
                        <w:left w:val="none" w:sz="0" w:space="0" w:color="auto"/>
                        <w:bottom w:val="none" w:sz="0" w:space="0" w:color="auto"/>
                        <w:right w:val="none" w:sz="0" w:space="0" w:color="auto"/>
                      </w:divBdr>
                      <w:divsChild>
                        <w:div w:id="870842938">
                          <w:marLeft w:val="-60"/>
                          <w:marRight w:val="-60"/>
                          <w:marTop w:val="0"/>
                          <w:marBottom w:val="0"/>
                          <w:divBdr>
                            <w:top w:val="none" w:sz="0" w:space="0" w:color="auto"/>
                            <w:left w:val="none" w:sz="0" w:space="0" w:color="auto"/>
                            <w:bottom w:val="none" w:sz="0" w:space="0" w:color="auto"/>
                            <w:right w:val="none" w:sz="0" w:space="0" w:color="auto"/>
                          </w:divBdr>
                          <w:divsChild>
                            <w:div w:id="446776606">
                              <w:marLeft w:val="0"/>
                              <w:marRight w:val="0"/>
                              <w:marTop w:val="0"/>
                              <w:marBottom w:val="0"/>
                              <w:divBdr>
                                <w:top w:val="none" w:sz="0" w:space="0" w:color="auto"/>
                                <w:left w:val="none" w:sz="0" w:space="0" w:color="auto"/>
                                <w:bottom w:val="none" w:sz="0" w:space="0" w:color="auto"/>
                                <w:right w:val="none" w:sz="0" w:space="0" w:color="auto"/>
                              </w:divBdr>
                              <w:divsChild>
                                <w:div w:id="16310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59270">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175535838">
      <w:bodyDiv w:val="1"/>
      <w:marLeft w:val="0"/>
      <w:marRight w:val="0"/>
      <w:marTop w:val="0"/>
      <w:marBottom w:val="0"/>
      <w:divBdr>
        <w:top w:val="none" w:sz="0" w:space="0" w:color="auto"/>
        <w:left w:val="none" w:sz="0" w:space="0" w:color="auto"/>
        <w:bottom w:val="none" w:sz="0" w:space="0" w:color="auto"/>
        <w:right w:val="none" w:sz="0" w:space="0" w:color="auto"/>
      </w:divBdr>
    </w:div>
    <w:div w:id="1254900168">
      <w:bodyDiv w:val="1"/>
      <w:marLeft w:val="0"/>
      <w:marRight w:val="0"/>
      <w:marTop w:val="0"/>
      <w:marBottom w:val="0"/>
      <w:divBdr>
        <w:top w:val="none" w:sz="0" w:space="0" w:color="auto"/>
        <w:left w:val="none" w:sz="0" w:space="0" w:color="auto"/>
        <w:bottom w:val="none" w:sz="0" w:space="0" w:color="auto"/>
        <w:right w:val="none" w:sz="0" w:space="0" w:color="auto"/>
      </w:divBdr>
    </w:div>
    <w:div w:id="1298680089">
      <w:bodyDiv w:val="1"/>
      <w:marLeft w:val="0"/>
      <w:marRight w:val="0"/>
      <w:marTop w:val="0"/>
      <w:marBottom w:val="0"/>
      <w:divBdr>
        <w:top w:val="none" w:sz="0" w:space="0" w:color="auto"/>
        <w:left w:val="none" w:sz="0" w:space="0" w:color="auto"/>
        <w:bottom w:val="none" w:sz="0" w:space="0" w:color="auto"/>
        <w:right w:val="none" w:sz="0" w:space="0" w:color="auto"/>
      </w:divBdr>
    </w:div>
    <w:div w:id="1337920045">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64091923">
      <w:bodyDiv w:val="1"/>
      <w:marLeft w:val="0"/>
      <w:marRight w:val="0"/>
      <w:marTop w:val="0"/>
      <w:marBottom w:val="0"/>
      <w:divBdr>
        <w:top w:val="none" w:sz="0" w:space="0" w:color="auto"/>
        <w:left w:val="none" w:sz="0" w:space="0" w:color="auto"/>
        <w:bottom w:val="none" w:sz="0" w:space="0" w:color="auto"/>
        <w:right w:val="none" w:sz="0" w:space="0" w:color="auto"/>
      </w:divBdr>
    </w:div>
    <w:div w:id="1694770301">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83069920">
      <w:bodyDiv w:val="1"/>
      <w:marLeft w:val="0"/>
      <w:marRight w:val="0"/>
      <w:marTop w:val="0"/>
      <w:marBottom w:val="0"/>
      <w:divBdr>
        <w:top w:val="none" w:sz="0" w:space="0" w:color="auto"/>
        <w:left w:val="none" w:sz="0" w:space="0" w:color="auto"/>
        <w:bottom w:val="none" w:sz="0" w:space="0" w:color="auto"/>
        <w:right w:val="none" w:sz="0" w:space="0" w:color="auto"/>
      </w:divBdr>
    </w:div>
    <w:div w:id="1789736042">
      <w:bodyDiv w:val="1"/>
      <w:marLeft w:val="0"/>
      <w:marRight w:val="0"/>
      <w:marTop w:val="0"/>
      <w:marBottom w:val="0"/>
      <w:divBdr>
        <w:top w:val="none" w:sz="0" w:space="0" w:color="auto"/>
        <w:left w:val="none" w:sz="0" w:space="0" w:color="auto"/>
        <w:bottom w:val="none" w:sz="0" w:space="0" w:color="auto"/>
        <w:right w:val="none" w:sz="0" w:space="0" w:color="auto"/>
      </w:divBdr>
    </w:div>
    <w:div w:id="1813869465">
      <w:bodyDiv w:val="1"/>
      <w:marLeft w:val="0"/>
      <w:marRight w:val="0"/>
      <w:marTop w:val="0"/>
      <w:marBottom w:val="0"/>
      <w:divBdr>
        <w:top w:val="none" w:sz="0" w:space="0" w:color="auto"/>
        <w:left w:val="none" w:sz="0" w:space="0" w:color="auto"/>
        <w:bottom w:val="none" w:sz="0" w:space="0" w:color="auto"/>
        <w:right w:val="none" w:sz="0" w:space="0" w:color="auto"/>
      </w:divBdr>
    </w:div>
    <w:div w:id="1832209646">
      <w:bodyDiv w:val="1"/>
      <w:marLeft w:val="0"/>
      <w:marRight w:val="0"/>
      <w:marTop w:val="0"/>
      <w:marBottom w:val="0"/>
      <w:divBdr>
        <w:top w:val="none" w:sz="0" w:space="0" w:color="auto"/>
        <w:left w:val="none" w:sz="0" w:space="0" w:color="auto"/>
        <w:bottom w:val="none" w:sz="0" w:space="0" w:color="auto"/>
        <w:right w:val="none" w:sz="0" w:space="0" w:color="auto"/>
      </w:divBdr>
    </w:div>
    <w:div w:id="1903634659">
      <w:bodyDiv w:val="1"/>
      <w:marLeft w:val="0"/>
      <w:marRight w:val="0"/>
      <w:marTop w:val="0"/>
      <w:marBottom w:val="0"/>
      <w:divBdr>
        <w:top w:val="none" w:sz="0" w:space="0" w:color="auto"/>
        <w:left w:val="none" w:sz="0" w:space="0" w:color="auto"/>
        <w:bottom w:val="none" w:sz="0" w:space="0" w:color="auto"/>
        <w:right w:val="none" w:sz="0" w:space="0" w:color="auto"/>
      </w:divBdr>
    </w:div>
    <w:div w:id="1917740232">
      <w:bodyDiv w:val="1"/>
      <w:marLeft w:val="0"/>
      <w:marRight w:val="0"/>
      <w:marTop w:val="0"/>
      <w:marBottom w:val="0"/>
      <w:divBdr>
        <w:top w:val="none" w:sz="0" w:space="0" w:color="auto"/>
        <w:left w:val="none" w:sz="0" w:space="0" w:color="auto"/>
        <w:bottom w:val="none" w:sz="0" w:space="0" w:color="auto"/>
        <w:right w:val="none" w:sz="0" w:space="0" w:color="auto"/>
      </w:divBdr>
      <w:divsChild>
        <w:div w:id="301078270">
          <w:marLeft w:val="1267"/>
          <w:marRight w:val="0"/>
          <w:marTop w:val="0"/>
          <w:marBottom w:val="0"/>
          <w:divBdr>
            <w:top w:val="none" w:sz="0" w:space="0" w:color="auto"/>
            <w:left w:val="none" w:sz="0" w:space="0" w:color="auto"/>
            <w:bottom w:val="none" w:sz="0" w:space="0" w:color="auto"/>
            <w:right w:val="none" w:sz="0" w:space="0" w:color="auto"/>
          </w:divBdr>
        </w:div>
        <w:div w:id="484319542">
          <w:marLeft w:val="1267"/>
          <w:marRight w:val="0"/>
          <w:marTop w:val="0"/>
          <w:marBottom w:val="120"/>
          <w:divBdr>
            <w:top w:val="none" w:sz="0" w:space="0" w:color="auto"/>
            <w:left w:val="none" w:sz="0" w:space="0" w:color="auto"/>
            <w:bottom w:val="none" w:sz="0" w:space="0" w:color="auto"/>
            <w:right w:val="none" w:sz="0" w:space="0" w:color="auto"/>
          </w:divBdr>
        </w:div>
        <w:div w:id="1151407415">
          <w:marLeft w:val="547"/>
          <w:marRight w:val="0"/>
          <w:marTop w:val="0"/>
          <w:marBottom w:val="0"/>
          <w:divBdr>
            <w:top w:val="none" w:sz="0" w:space="0" w:color="auto"/>
            <w:left w:val="none" w:sz="0" w:space="0" w:color="auto"/>
            <w:bottom w:val="none" w:sz="0" w:space="0" w:color="auto"/>
            <w:right w:val="none" w:sz="0" w:space="0" w:color="auto"/>
          </w:divBdr>
        </w:div>
        <w:div w:id="1173454663">
          <w:marLeft w:val="1267"/>
          <w:marRight w:val="0"/>
          <w:marTop w:val="0"/>
          <w:marBottom w:val="120"/>
          <w:divBdr>
            <w:top w:val="none" w:sz="0" w:space="0" w:color="auto"/>
            <w:left w:val="none" w:sz="0" w:space="0" w:color="auto"/>
            <w:bottom w:val="none" w:sz="0" w:space="0" w:color="auto"/>
            <w:right w:val="none" w:sz="0" w:space="0" w:color="auto"/>
          </w:divBdr>
        </w:div>
        <w:div w:id="1400860682">
          <w:marLeft w:val="547"/>
          <w:marRight w:val="0"/>
          <w:marTop w:val="0"/>
          <w:marBottom w:val="0"/>
          <w:divBdr>
            <w:top w:val="none" w:sz="0" w:space="0" w:color="auto"/>
            <w:left w:val="none" w:sz="0" w:space="0" w:color="auto"/>
            <w:bottom w:val="none" w:sz="0" w:space="0" w:color="auto"/>
            <w:right w:val="none" w:sz="0" w:space="0" w:color="auto"/>
          </w:divBdr>
        </w:div>
        <w:div w:id="1997417827">
          <w:marLeft w:val="1267"/>
          <w:marRight w:val="0"/>
          <w:marTop w:val="0"/>
          <w:marBottom w:val="0"/>
          <w:divBdr>
            <w:top w:val="none" w:sz="0" w:space="0" w:color="auto"/>
            <w:left w:val="none" w:sz="0" w:space="0" w:color="auto"/>
            <w:bottom w:val="none" w:sz="0" w:space="0" w:color="auto"/>
            <w:right w:val="none" w:sz="0" w:space="0" w:color="auto"/>
          </w:divBdr>
        </w:div>
        <w:div w:id="2097288214">
          <w:marLeft w:val="547"/>
          <w:marRight w:val="0"/>
          <w:marTop w:val="0"/>
          <w:marBottom w:val="0"/>
          <w:divBdr>
            <w:top w:val="none" w:sz="0" w:space="0" w:color="auto"/>
            <w:left w:val="none" w:sz="0" w:space="0" w:color="auto"/>
            <w:bottom w:val="none" w:sz="0" w:space="0" w:color="auto"/>
            <w:right w:val="none" w:sz="0" w:space="0" w:color="auto"/>
          </w:divBdr>
        </w:div>
        <w:div w:id="2123376982">
          <w:marLeft w:val="1267"/>
          <w:marRight w:val="0"/>
          <w:marTop w:val="0"/>
          <w:marBottom w:val="0"/>
          <w:divBdr>
            <w:top w:val="none" w:sz="0" w:space="0" w:color="auto"/>
            <w:left w:val="none" w:sz="0" w:space="0" w:color="auto"/>
            <w:bottom w:val="none" w:sz="0" w:space="0" w:color="auto"/>
            <w:right w:val="none" w:sz="0" w:space="0" w:color="auto"/>
          </w:divBdr>
        </w:div>
      </w:divsChild>
    </w:div>
    <w:div w:id="1922057547">
      <w:bodyDiv w:val="1"/>
      <w:marLeft w:val="0"/>
      <w:marRight w:val="0"/>
      <w:marTop w:val="0"/>
      <w:marBottom w:val="0"/>
      <w:divBdr>
        <w:top w:val="none" w:sz="0" w:space="0" w:color="auto"/>
        <w:left w:val="none" w:sz="0" w:space="0" w:color="auto"/>
        <w:bottom w:val="none" w:sz="0" w:space="0" w:color="auto"/>
        <w:right w:val="none" w:sz="0" w:space="0" w:color="auto"/>
      </w:divBdr>
    </w:div>
    <w:div w:id="1962107452">
      <w:bodyDiv w:val="1"/>
      <w:marLeft w:val="0"/>
      <w:marRight w:val="0"/>
      <w:marTop w:val="0"/>
      <w:marBottom w:val="0"/>
      <w:divBdr>
        <w:top w:val="none" w:sz="0" w:space="0" w:color="auto"/>
        <w:left w:val="none" w:sz="0" w:space="0" w:color="auto"/>
        <w:bottom w:val="none" w:sz="0" w:space="0" w:color="auto"/>
        <w:right w:val="none" w:sz="0" w:space="0" w:color="auto"/>
      </w:divBdr>
    </w:div>
    <w:div w:id="1993637503">
      <w:bodyDiv w:val="1"/>
      <w:marLeft w:val="0"/>
      <w:marRight w:val="0"/>
      <w:marTop w:val="0"/>
      <w:marBottom w:val="0"/>
      <w:divBdr>
        <w:top w:val="none" w:sz="0" w:space="0" w:color="auto"/>
        <w:left w:val="none" w:sz="0" w:space="0" w:color="auto"/>
        <w:bottom w:val="none" w:sz="0" w:space="0" w:color="auto"/>
        <w:right w:val="none" w:sz="0" w:space="0" w:color="auto"/>
      </w:divBdr>
    </w:div>
    <w:div w:id="2050256292">
      <w:bodyDiv w:val="1"/>
      <w:marLeft w:val="0"/>
      <w:marRight w:val="0"/>
      <w:marTop w:val="0"/>
      <w:marBottom w:val="0"/>
      <w:divBdr>
        <w:top w:val="none" w:sz="0" w:space="0" w:color="auto"/>
        <w:left w:val="none" w:sz="0" w:space="0" w:color="auto"/>
        <w:bottom w:val="none" w:sz="0" w:space="0" w:color="auto"/>
        <w:right w:val="none" w:sz="0" w:space="0" w:color="auto"/>
      </w:divBdr>
      <w:divsChild>
        <w:div w:id="93332334">
          <w:marLeft w:val="0"/>
          <w:marRight w:val="0"/>
          <w:marTop w:val="240"/>
          <w:marBottom w:val="240"/>
          <w:divBdr>
            <w:top w:val="none" w:sz="0" w:space="0" w:color="auto"/>
            <w:left w:val="none" w:sz="0" w:space="0" w:color="auto"/>
            <w:bottom w:val="none" w:sz="0" w:space="0" w:color="auto"/>
            <w:right w:val="none" w:sz="0" w:space="0" w:color="auto"/>
          </w:divBdr>
        </w:div>
        <w:div w:id="946426602">
          <w:marLeft w:val="0"/>
          <w:marRight w:val="0"/>
          <w:marTop w:val="240"/>
          <w:marBottom w:val="240"/>
          <w:divBdr>
            <w:top w:val="none" w:sz="0" w:space="0" w:color="auto"/>
            <w:left w:val="none" w:sz="0" w:space="0" w:color="auto"/>
            <w:bottom w:val="none" w:sz="0" w:space="0" w:color="auto"/>
            <w:right w:val="none" w:sz="0" w:space="0" w:color="auto"/>
          </w:divBdr>
        </w:div>
        <w:div w:id="1105927019">
          <w:marLeft w:val="0"/>
          <w:marRight w:val="0"/>
          <w:marTop w:val="240"/>
          <w:marBottom w:val="240"/>
          <w:divBdr>
            <w:top w:val="none" w:sz="0" w:space="0" w:color="auto"/>
            <w:left w:val="none" w:sz="0" w:space="0" w:color="auto"/>
            <w:bottom w:val="none" w:sz="0" w:space="0" w:color="auto"/>
            <w:right w:val="none" w:sz="0" w:space="0" w:color="auto"/>
          </w:divBdr>
        </w:div>
        <w:div w:id="1398045846">
          <w:marLeft w:val="0"/>
          <w:marRight w:val="0"/>
          <w:marTop w:val="240"/>
          <w:marBottom w:val="240"/>
          <w:divBdr>
            <w:top w:val="none" w:sz="0" w:space="0" w:color="auto"/>
            <w:left w:val="none" w:sz="0" w:space="0" w:color="auto"/>
            <w:bottom w:val="none" w:sz="0" w:space="0" w:color="auto"/>
            <w:right w:val="none" w:sz="0" w:space="0" w:color="auto"/>
          </w:divBdr>
        </w:div>
        <w:div w:id="1620068536">
          <w:marLeft w:val="0"/>
          <w:marRight w:val="0"/>
          <w:marTop w:val="240"/>
          <w:marBottom w:val="240"/>
          <w:divBdr>
            <w:top w:val="none" w:sz="0" w:space="0" w:color="auto"/>
            <w:left w:val="none" w:sz="0" w:space="0" w:color="auto"/>
            <w:bottom w:val="none" w:sz="0" w:space="0" w:color="auto"/>
            <w:right w:val="none" w:sz="0" w:space="0" w:color="auto"/>
          </w:divBdr>
        </w:div>
      </w:divsChild>
    </w:div>
    <w:div w:id="2092310272">
      <w:bodyDiv w:val="1"/>
      <w:marLeft w:val="0"/>
      <w:marRight w:val="0"/>
      <w:marTop w:val="0"/>
      <w:marBottom w:val="0"/>
      <w:divBdr>
        <w:top w:val="none" w:sz="0" w:space="0" w:color="auto"/>
        <w:left w:val="none" w:sz="0" w:space="0" w:color="auto"/>
        <w:bottom w:val="none" w:sz="0" w:space="0" w:color="auto"/>
        <w:right w:val="none" w:sz="0" w:space="0" w:color="auto"/>
      </w:divBdr>
    </w:div>
    <w:div w:id="21008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1189-5AC0-45A3-94AD-05B7DB113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EC51B-994A-4D23-BC75-D7808F45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ACF554-7E0C-4954-B4AD-2F80D3CDF97B}">
  <ds:schemaRefs>
    <ds:schemaRef ds:uri="http://schemas.microsoft.com/sharepoint/v3/contenttype/forms"/>
  </ds:schemaRefs>
</ds:datastoreItem>
</file>

<file path=customXml/itemProps4.xml><?xml version="1.0" encoding="utf-8"?>
<ds:datastoreItem xmlns:ds="http://schemas.openxmlformats.org/officeDocument/2006/customXml" ds:itemID="{0CCDC6EC-46FF-4553-A9DF-77417193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Krista</dc:creator>
  <cp:keywords/>
  <dc:description/>
  <cp:lastModifiedBy>Schreier, Sandy</cp:lastModifiedBy>
  <cp:revision>2</cp:revision>
  <cp:lastPrinted>2015-12-22T16:37:00Z</cp:lastPrinted>
  <dcterms:created xsi:type="dcterms:W3CDTF">2016-01-21T19:58:00Z</dcterms:created>
  <dcterms:modified xsi:type="dcterms:W3CDTF">2016-01-21T19:58:00Z</dcterms:modified>
</cp:coreProperties>
</file>