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20BFC" w14:textId="77777777" w:rsidR="00383739" w:rsidRDefault="00383739" w:rsidP="004E2354">
      <w:pPr>
        <w:pStyle w:val="Title"/>
        <w:spacing w:before="0" w:after="0"/>
        <w:rPr>
          <w:rFonts w:asciiTheme="minorHAnsi" w:hAnsiTheme="minorHAnsi"/>
        </w:rPr>
      </w:pPr>
      <w:bookmarkStart w:id="0" w:name="_GoBack"/>
      <w:r w:rsidRPr="0034405D">
        <w:rPr>
          <w:rFonts w:asciiTheme="minorHAnsi" w:hAnsiTheme="minorHAnsi"/>
        </w:rPr>
        <w:t>Health Care F</w:t>
      </w:r>
      <w:bookmarkEnd w:id="0"/>
      <w:r w:rsidRPr="0034405D">
        <w:rPr>
          <w:rFonts w:asciiTheme="minorHAnsi" w:hAnsiTheme="minorHAnsi"/>
        </w:rPr>
        <w:t>inancing Task Force</w:t>
      </w:r>
    </w:p>
    <w:p w14:paraId="0E720BFD" w14:textId="77777777" w:rsidR="006D3AAC" w:rsidRDefault="00096068" w:rsidP="00936B3A">
      <w:pPr>
        <w:rPr>
          <w:szCs w:val="22"/>
        </w:rPr>
      </w:pPr>
      <w:r w:rsidRPr="00096068">
        <w:rPr>
          <w:b/>
          <w:szCs w:val="22"/>
        </w:rPr>
        <w:t>Vision</w:t>
      </w:r>
      <w:r w:rsidRPr="00096068">
        <w:rPr>
          <w:szCs w:val="22"/>
        </w:rPr>
        <w:t>:</w:t>
      </w:r>
      <w:r w:rsidRPr="00096068">
        <w:rPr>
          <w:i/>
          <w:szCs w:val="22"/>
        </w:rPr>
        <w:t xml:space="preserve"> Sustainable, quality health care for all Minnesotans</w:t>
      </w:r>
    </w:p>
    <w:p w14:paraId="0E720BFE" w14:textId="77777777" w:rsidR="00936B3A" w:rsidRPr="00675727" w:rsidRDefault="00ED0D5E" w:rsidP="00D3777E">
      <w:pPr>
        <w:spacing w:after="0"/>
        <w:rPr>
          <w:szCs w:val="22"/>
        </w:rPr>
      </w:pPr>
      <w:r>
        <w:rPr>
          <w:szCs w:val="22"/>
        </w:rPr>
        <w:t>Barriers to Access</w:t>
      </w:r>
      <w:r w:rsidR="00936B3A" w:rsidRPr="00675727">
        <w:rPr>
          <w:szCs w:val="22"/>
        </w:rPr>
        <w:t xml:space="preserve"> Workgroup</w:t>
      </w:r>
    </w:p>
    <w:p w14:paraId="0E720BFF" w14:textId="77777777" w:rsidR="00D3777E" w:rsidRPr="00D3777E" w:rsidRDefault="00D3777E" w:rsidP="00D3777E">
      <w:pPr>
        <w:pStyle w:val="Subtitle"/>
        <w:spacing w:before="0" w:after="0"/>
        <w:rPr>
          <w:rFonts w:asciiTheme="minorHAnsi" w:eastAsia="Times New Roman" w:hAnsiTheme="minorHAnsi" w:cs="Times New Roman"/>
          <w:b w:val="0"/>
          <w:spacing w:val="0"/>
          <w:sz w:val="22"/>
        </w:rPr>
      </w:pPr>
      <w:r w:rsidRPr="00D3777E">
        <w:rPr>
          <w:rFonts w:asciiTheme="minorHAnsi" w:eastAsia="Times New Roman" w:hAnsiTheme="minorHAnsi" w:cs="Times New Roman"/>
          <w:b w:val="0"/>
          <w:spacing w:val="0"/>
          <w:sz w:val="22"/>
        </w:rPr>
        <w:t>Friday, October 16, 2015, 8:30 am – 11:00 am</w:t>
      </w:r>
    </w:p>
    <w:p w14:paraId="0E720C00" w14:textId="77777777" w:rsidR="00D3777E" w:rsidRDefault="00D3777E" w:rsidP="00D3777E">
      <w:pPr>
        <w:pStyle w:val="Subtitle"/>
        <w:spacing w:before="0" w:after="0"/>
        <w:rPr>
          <w:rFonts w:asciiTheme="minorHAnsi" w:eastAsia="Times New Roman" w:hAnsiTheme="minorHAnsi" w:cs="Times New Roman"/>
          <w:b w:val="0"/>
          <w:spacing w:val="0"/>
          <w:sz w:val="22"/>
        </w:rPr>
      </w:pPr>
      <w:r w:rsidRPr="00D3777E">
        <w:rPr>
          <w:rFonts w:asciiTheme="minorHAnsi" w:eastAsia="Times New Roman" w:hAnsiTheme="minorHAnsi" w:cs="Times New Roman"/>
          <w:b w:val="0"/>
          <w:spacing w:val="0"/>
          <w:sz w:val="22"/>
        </w:rPr>
        <w:t>Minnesota State Office Building-Room 200</w:t>
      </w:r>
    </w:p>
    <w:p w14:paraId="0E720C01" w14:textId="77777777" w:rsidR="00383739" w:rsidRPr="0034405D" w:rsidRDefault="00C44D92" w:rsidP="00D3777E">
      <w:pPr>
        <w:pStyle w:val="Subtitle"/>
        <w:rPr>
          <w:rFonts w:asciiTheme="minorHAnsi" w:hAnsiTheme="minorHAnsi"/>
        </w:rPr>
      </w:pPr>
      <w:r w:rsidRPr="0034405D">
        <w:rPr>
          <w:rFonts w:asciiTheme="minorHAnsi" w:hAnsiTheme="minorHAnsi"/>
        </w:rPr>
        <w:t>Minutes</w:t>
      </w:r>
    </w:p>
    <w:tbl>
      <w:tblPr>
        <w:tblStyle w:val="TableGrid"/>
        <w:tblW w:w="10790" w:type="dxa"/>
        <w:tblLook w:val="04A0" w:firstRow="1" w:lastRow="0" w:firstColumn="1" w:lastColumn="0" w:noHBand="0" w:noVBand="1"/>
        <w:tblCaption w:val="Meeting minutes"/>
        <w:tblDescription w:val="Includes item, presenter, discussion and resolution"/>
      </w:tblPr>
      <w:tblGrid>
        <w:gridCol w:w="3235"/>
        <w:gridCol w:w="1710"/>
        <w:gridCol w:w="5845"/>
      </w:tblGrid>
      <w:tr w:rsidR="00C44D92" w:rsidRPr="00383739" w14:paraId="0E720C05" w14:textId="77777777" w:rsidTr="00C44D92">
        <w:trPr>
          <w:tblHeader/>
        </w:trPr>
        <w:tc>
          <w:tcPr>
            <w:tcW w:w="3235" w:type="dxa"/>
          </w:tcPr>
          <w:p w14:paraId="0E720C02" w14:textId="77777777" w:rsidR="00C44D92" w:rsidRPr="00383739" w:rsidRDefault="00C44D92" w:rsidP="00383739">
            <w:pPr>
              <w:pStyle w:val="Heading2"/>
              <w:outlineLvl w:val="1"/>
              <w:rPr>
                <w:b/>
              </w:rPr>
            </w:pPr>
            <w:r w:rsidRPr="00383739">
              <w:rPr>
                <w:b/>
              </w:rPr>
              <w:t>Item</w:t>
            </w:r>
          </w:p>
        </w:tc>
        <w:tc>
          <w:tcPr>
            <w:tcW w:w="1710" w:type="dxa"/>
          </w:tcPr>
          <w:p w14:paraId="0E720C03" w14:textId="77777777" w:rsidR="00C44D92" w:rsidRPr="00383739" w:rsidRDefault="00C44D92" w:rsidP="00383739">
            <w:pPr>
              <w:pStyle w:val="Heading2"/>
              <w:outlineLvl w:val="1"/>
              <w:rPr>
                <w:b/>
              </w:rPr>
            </w:pPr>
            <w:r w:rsidRPr="00383739">
              <w:rPr>
                <w:b/>
              </w:rPr>
              <w:t>Presenter</w:t>
            </w:r>
          </w:p>
        </w:tc>
        <w:tc>
          <w:tcPr>
            <w:tcW w:w="5845" w:type="dxa"/>
          </w:tcPr>
          <w:p w14:paraId="0E720C04" w14:textId="77777777" w:rsidR="00C44D92" w:rsidRPr="00383739" w:rsidRDefault="00C44D92" w:rsidP="00C44D92">
            <w:pPr>
              <w:pStyle w:val="Heading2"/>
              <w:outlineLvl w:val="1"/>
              <w:rPr>
                <w:b/>
              </w:rPr>
            </w:pPr>
            <w:r>
              <w:rPr>
                <w:b/>
              </w:rPr>
              <w:t xml:space="preserve">Discussion /Resolution </w:t>
            </w:r>
          </w:p>
        </w:tc>
      </w:tr>
      <w:tr w:rsidR="005E3DE6" w14:paraId="0E720C09" w14:textId="77777777" w:rsidTr="00C44D92">
        <w:tc>
          <w:tcPr>
            <w:tcW w:w="3235" w:type="dxa"/>
          </w:tcPr>
          <w:p w14:paraId="0E720C06" w14:textId="77777777" w:rsidR="005E3DE6" w:rsidRPr="001B3332" w:rsidRDefault="00D3777E" w:rsidP="001B15A4">
            <w:pPr>
              <w:rPr>
                <w:b/>
                <w:szCs w:val="22"/>
              </w:rPr>
            </w:pPr>
            <w:r>
              <w:rPr>
                <w:b/>
                <w:szCs w:val="22"/>
              </w:rPr>
              <w:t>Welcome</w:t>
            </w:r>
          </w:p>
        </w:tc>
        <w:tc>
          <w:tcPr>
            <w:tcW w:w="1710" w:type="dxa"/>
          </w:tcPr>
          <w:p w14:paraId="0E720C07" w14:textId="77777777" w:rsidR="005E3DE6" w:rsidRDefault="008E6733" w:rsidP="00487ED4">
            <w:r>
              <w:t>Marilyn Pe</w:t>
            </w:r>
            <w:r w:rsidR="00487ED4">
              <w:t>i</w:t>
            </w:r>
            <w:r>
              <w:t>tso, MD</w:t>
            </w:r>
          </w:p>
        </w:tc>
        <w:tc>
          <w:tcPr>
            <w:tcW w:w="5845" w:type="dxa"/>
          </w:tcPr>
          <w:p w14:paraId="0E720C08" w14:textId="77777777" w:rsidR="005E3DE6" w:rsidRDefault="00ED0D5E" w:rsidP="00487ED4">
            <w:pPr>
              <w:pStyle w:val="ListParagraph"/>
              <w:numPr>
                <w:ilvl w:val="0"/>
                <w:numId w:val="12"/>
              </w:numPr>
              <w:spacing w:after="0"/>
              <w:rPr>
                <w:szCs w:val="22"/>
              </w:rPr>
            </w:pPr>
            <w:r>
              <w:rPr>
                <w:szCs w:val="22"/>
              </w:rPr>
              <w:t>The Barriers to Access Workgroup lead</w:t>
            </w:r>
            <w:r w:rsidR="00487ED4">
              <w:rPr>
                <w:szCs w:val="22"/>
              </w:rPr>
              <w:t>, Dr. Marilyn Peit</w:t>
            </w:r>
            <w:r w:rsidR="00C20609">
              <w:rPr>
                <w:szCs w:val="22"/>
              </w:rPr>
              <w:t>so,</w:t>
            </w:r>
            <w:r>
              <w:rPr>
                <w:szCs w:val="22"/>
              </w:rPr>
              <w:t xml:space="preserve"> opened the meeting. </w:t>
            </w:r>
          </w:p>
        </w:tc>
      </w:tr>
      <w:tr w:rsidR="00C44D92" w14:paraId="0E720C19" w14:textId="77777777" w:rsidTr="00C44D92">
        <w:tc>
          <w:tcPr>
            <w:tcW w:w="3235" w:type="dxa"/>
          </w:tcPr>
          <w:p w14:paraId="0E720C0A" w14:textId="77777777" w:rsidR="00C44D92" w:rsidRPr="00936B3A" w:rsidRDefault="00D3777E" w:rsidP="00A1336C">
            <w:pPr>
              <w:rPr>
                <w:b/>
                <w:szCs w:val="22"/>
              </w:rPr>
            </w:pPr>
            <w:r>
              <w:rPr>
                <w:b/>
                <w:szCs w:val="22"/>
              </w:rPr>
              <w:t>Preliminary Recommendations on Reducing Financial barriers</w:t>
            </w:r>
          </w:p>
        </w:tc>
        <w:tc>
          <w:tcPr>
            <w:tcW w:w="1710" w:type="dxa"/>
          </w:tcPr>
          <w:p w14:paraId="0E720C0B" w14:textId="77777777" w:rsidR="00C44D92" w:rsidRDefault="00936B3A" w:rsidP="001B15A4">
            <w:r>
              <w:t>Manatt</w:t>
            </w:r>
          </w:p>
        </w:tc>
        <w:tc>
          <w:tcPr>
            <w:tcW w:w="5845" w:type="dxa"/>
          </w:tcPr>
          <w:p w14:paraId="0E720C0C" w14:textId="77777777" w:rsidR="00ED0D5E" w:rsidRDefault="008E6733" w:rsidP="007B6BB5">
            <w:pPr>
              <w:pStyle w:val="ListParagraph"/>
              <w:numPr>
                <w:ilvl w:val="0"/>
                <w:numId w:val="12"/>
              </w:numPr>
              <w:spacing w:after="0"/>
              <w:rPr>
                <w:szCs w:val="22"/>
              </w:rPr>
            </w:pPr>
            <w:r>
              <w:rPr>
                <w:i/>
                <w:szCs w:val="22"/>
              </w:rPr>
              <w:t>See Manatt presentation</w:t>
            </w:r>
            <w:r w:rsidR="00ED0D5E" w:rsidRPr="007B6BB5">
              <w:rPr>
                <w:szCs w:val="22"/>
              </w:rPr>
              <w:t xml:space="preserve"> </w:t>
            </w:r>
          </w:p>
          <w:p w14:paraId="0E720C0D" w14:textId="77777777" w:rsidR="00C4083C" w:rsidRDefault="00C4083C" w:rsidP="00487ED4">
            <w:pPr>
              <w:spacing w:after="0"/>
              <w:rPr>
                <w:i/>
                <w:szCs w:val="22"/>
              </w:rPr>
            </w:pPr>
          </w:p>
          <w:p w14:paraId="0E720C0E" w14:textId="77777777" w:rsidR="00487ED4" w:rsidRPr="00487ED4" w:rsidRDefault="00487ED4" w:rsidP="00487ED4">
            <w:pPr>
              <w:spacing w:after="0"/>
              <w:rPr>
                <w:i/>
                <w:szCs w:val="22"/>
              </w:rPr>
            </w:pPr>
            <w:r>
              <w:rPr>
                <w:i/>
                <w:szCs w:val="22"/>
              </w:rPr>
              <w:t>Affordability Scale</w:t>
            </w:r>
          </w:p>
          <w:p w14:paraId="0E720C0F" w14:textId="77777777" w:rsidR="00C20609" w:rsidRDefault="00D1688F" w:rsidP="00A376A7">
            <w:pPr>
              <w:pStyle w:val="ListParagraph"/>
              <w:numPr>
                <w:ilvl w:val="0"/>
                <w:numId w:val="12"/>
              </w:numPr>
              <w:spacing w:after="0"/>
              <w:rPr>
                <w:szCs w:val="22"/>
              </w:rPr>
            </w:pPr>
            <w:r>
              <w:rPr>
                <w:szCs w:val="22"/>
              </w:rPr>
              <w:t xml:space="preserve">Ms. Anne Karl of Manatt provided an overview of the premiums and maximum out-of-pocket expenses for consumers at various income ranges across the ACA, MinnesotaCare, and Medical Assistance. She noted the increase in premium as a percentage of income </w:t>
            </w:r>
            <w:r w:rsidR="00C20609">
              <w:rPr>
                <w:szCs w:val="22"/>
              </w:rPr>
              <w:t xml:space="preserve">when a consumer reaches 201% FPL increases from 4% to 7%. Ms. Karl </w:t>
            </w:r>
            <w:r w:rsidR="00487ED4">
              <w:rPr>
                <w:szCs w:val="22"/>
              </w:rPr>
              <w:t>reviewed an option</w:t>
            </w:r>
            <w:r w:rsidR="00C20609">
              <w:rPr>
                <w:szCs w:val="22"/>
              </w:rPr>
              <w:t xml:space="preserve"> to</w:t>
            </w:r>
            <w:r w:rsidR="00487ED4">
              <w:rPr>
                <w:szCs w:val="22"/>
              </w:rPr>
              <w:t xml:space="preserve"> </w:t>
            </w:r>
            <w:r w:rsidR="00C20609">
              <w:rPr>
                <w:szCs w:val="22"/>
              </w:rPr>
              <w:t xml:space="preserve">increase premiums </w:t>
            </w:r>
            <w:r w:rsidR="00487ED4">
              <w:rPr>
                <w:szCs w:val="22"/>
              </w:rPr>
              <w:t xml:space="preserve">gradually </w:t>
            </w:r>
            <w:r w:rsidR="00C20609">
              <w:rPr>
                <w:szCs w:val="22"/>
              </w:rPr>
              <w:t xml:space="preserve">between 201 – 300% FPL to smooth the cliff for that income range. </w:t>
            </w:r>
            <w:r w:rsidR="00EF3531">
              <w:rPr>
                <w:szCs w:val="22"/>
              </w:rPr>
              <w:t xml:space="preserve">Ms. Karl discussed </w:t>
            </w:r>
            <w:r w:rsidR="00487ED4">
              <w:rPr>
                <w:szCs w:val="22"/>
              </w:rPr>
              <w:t>two components of affordability:</w:t>
            </w:r>
            <w:r w:rsidR="00EF3531">
              <w:rPr>
                <w:szCs w:val="22"/>
              </w:rPr>
              <w:t xml:space="preserve"> cost-sharing and monthly premiums</w:t>
            </w:r>
            <w:r w:rsidR="00C20609">
              <w:rPr>
                <w:szCs w:val="22"/>
              </w:rPr>
              <w:t xml:space="preserve"> which both need to considered when deciding if a consumer can purchase and use their coverage. </w:t>
            </w:r>
          </w:p>
          <w:p w14:paraId="0E720C10" w14:textId="77777777" w:rsidR="00EF3531" w:rsidRDefault="00EF3531" w:rsidP="00C20609">
            <w:pPr>
              <w:pStyle w:val="ListParagraph"/>
              <w:spacing w:after="0"/>
              <w:ind w:left="360"/>
              <w:rPr>
                <w:szCs w:val="22"/>
              </w:rPr>
            </w:pPr>
          </w:p>
          <w:p w14:paraId="0E720C11" w14:textId="77777777" w:rsidR="007E2213" w:rsidRPr="007E2213" w:rsidRDefault="007E2213" w:rsidP="00487ED4">
            <w:pPr>
              <w:pStyle w:val="ListParagraph"/>
              <w:spacing w:after="0"/>
              <w:ind w:left="0"/>
              <w:rPr>
                <w:i/>
                <w:szCs w:val="22"/>
              </w:rPr>
            </w:pPr>
            <w:r>
              <w:rPr>
                <w:i/>
                <w:szCs w:val="22"/>
              </w:rPr>
              <w:t xml:space="preserve">High </w:t>
            </w:r>
            <w:r w:rsidR="00EA33C5">
              <w:rPr>
                <w:i/>
                <w:szCs w:val="22"/>
              </w:rPr>
              <w:t>Deductible Health</w:t>
            </w:r>
            <w:r>
              <w:rPr>
                <w:i/>
                <w:szCs w:val="22"/>
              </w:rPr>
              <w:t xml:space="preserve"> Plans</w:t>
            </w:r>
          </w:p>
          <w:p w14:paraId="0E720C12" w14:textId="731D633B" w:rsidR="002D4925" w:rsidRPr="00BE3D57" w:rsidRDefault="00EF3531" w:rsidP="00BE3D57">
            <w:pPr>
              <w:pStyle w:val="ListParagraph"/>
              <w:numPr>
                <w:ilvl w:val="0"/>
                <w:numId w:val="12"/>
              </w:numPr>
              <w:spacing w:after="0"/>
              <w:rPr>
                <w:szCs w:val="22"/>
              </w:rPr>
            </w:pPr>
            <w:r>
              <w:rPr>
                <w:szCs w:val="22"/>
              </w:rPr>
              <w:t xml:space="preserve">Ms. Karl provided an overview of the current plan offerings through MNsure. </w:t>
            </w:r>
            <w:r w:rsidR="00EA33C5">
              <w:rPr>
                <w:szCs w:val="22"/>
              </w:rPr>
              <w:t>She noted that o</w:t>
            </w:r>
            <w:r>
              <w:rPr>
                <w:szCs w:val="22"/>
              </w:rPr>
              <w:t>nly one</w:t>
            </w:r>
            <w:r w:rsidR="00EA33C5">
              <w:rPr>
                <w:szCs w:val="22"/>
              </w:rPr>
              <w:t xml:space="preserve"> of the 33 available silver</w:t>
            </w:r>
            <w:r>
              <w:rPr>
                <w:szCs w:val="22"/>
              </w:rPr>
              <w:t xml:space="preserve"> plan</w:t>
            </w:r>
            <w:r w:rsidR="00EA33C5">
              <w:rPr>
                <w:szCs w:val="22"/>
              </w:rPr>
              <w:t>s for 2015</w:t>
            </w:r>
            <w:r>
              <w:rPr>
                <w:szCs w:val="22"/>
              </w:rPr>
              <w:t xml:space="preserve"> had no deductible while the average deductible was $2,236</w:t>
            </w:r>
            <w:r w:rsidR="007B65CA">
              <w:rPr>
                <w:szCs w:val="22"/>
              </w:rPr>
              <w:t xml:space="preserve">. The silver plan with the highest </w:t>
            </w:r>
            <w:r w:rsidR="00EA33C5">
              <w:rPr>
                <w:szCs w:val="22"/>
              </w:rPr>
              <w:t>number of enrollees</w:t>
            </w:r>
            <w:r w:rsidR="007B65CA">
              <w:rPr>
                <w:szCs w:val="22"/>
              </w:rPr>
              <w:t xml:space="preserve"> </w:t>
            </w:r>
            <w:r w:rsidR="00EA33C5">
              <w:rPr>
                <w:szCs w:val="22"/>
              </w:rPr>
              <w:t>has</w:t>
            </w:r>
            <w:r w:rsidR="007B65CA">
              <w:rPr>
                <w:szCs w:val="22"/>
              </w:rPr>
              <w:t xml:space="preserve"> a deductible of $3,000. </w:t>
            </w:r>
            <w:r w:rsidR="007E2213">
              <w:rPr>
                <w:szCs w:val="22"/>
              </w:rPr>
              <w:t>She noted that no</w:t>
            </w:r>
            <w:r w:rsidR="00F925C2">
              <w:rPr>
                <w:szCs w:val="22"/>
              </w:rPr>
              <w:t>ne of the</w:t>
            </w:r>
            <w:r w:rsidR="007E2213">
              <w:rPr>
                <w:szCs w:val="22"/>
              </w:rPr>
              <w:t xml:space="preserve"> recommendations </w:t>
            </w:r>
            <w:r w:rsidR="00C4083C">
              <w:rPr>
                <w:szCs w:val="22"/>
              </w:rPr>
              <w:t>would</w:t>
            </w:r>
            <w:r w:rsidR="007E2213">
              <w:rPr>
                <w:szCs w:val="22"/>
              </w:rPr>
              <w:t xml:space="preserve"> reduce total cost-sharing </w:t>
            </w:r>
            <w:r w:rsidR="00BE3D57">
              <w:rPr>
                <w:szCs w:val="22"/>
              </w:rPr>
              <w:t xml:space="preserve">– since the actuarial value of the plan remains the same – </w:t>
            </w:r>
            <w:r w:rsidR="007E2213" w:rsidRPr="00BE3D57">
              <w:rPr>
                <w:szCs w:val="22"/>
              </w:rPr>
              <w:t xml:space="preserve">but </w:t>
            </w:r>
            <w:r w:rsidR="00C4083C" w:rsidRPr="00BE3D57">
              <w:rPr>
                <w:szCs w:val="22"/>
              </w:rPr>
              <w:t xml:space="preserve">would </w:t>
            </w:r>
            <w:r w:rsidR="007E2213" w:rsidRPr="00BE3D57">
              <w:rPr>
                <w:szCs w:val="22"/>
              </w:rPr>
              <w:t>rather spre</w:t>
            </w:r>
            <w:r w:rsidR="00A21094">
              <w:rPr>
                <w:szCs w:val="22"/>
              </w:rPr>
              <w:t>ad that cost-sharing over time.</w:t>
            </w:r>
          </w:p>
          <w:p w14:paraId="0E720C13" w14:textId="77777777" w:rsidR="009F5CCB" w:rsidRDefault="007B65CA" w:rsidP="007B65CA">
            <w:pPr>
              <w:pStyle w:val="ListParagraph"/>
              <w:numPr>
                <w:ilvl w:val="1"/>
                <w:numId w:val="12"/>
              </w:numPr>
              <w:spacing w:after="0"/>
              <w:rPr>
                <w:szCs w:val="22"/>
              </w:rPr>
            </w:pPr>
            <w:r w:rsidRPr="009F5CCB">
              <w:rPr>
                <w:szCs w:val="22"/>
              </w:rPr>
              <w:t xml:space="preserve">A workgroup member </w:t>
            </w:r>
            <w:r w:rsidR="0090351D" w:rsidRPr="009F5CCB">
              <w:rPr>
                <w:szCs w:val="22"/>
              </w:rPr>
              <w:t>noted that high deductible plans c</w:t>
            </w:r>
            <w:r w:rsidR="00C4083C">
              <w:rPr>
                <w:szCs w:val="22"/>
              </w:rPr>
              <w:t>ould</w:t>
            </w:r>
            <w:r w:rsidR="0090351D" w:rsidRPr="009F5CCB">
              <w:rPr>
                <w:szCs w:val="22"/>
              </w:rPr>
              <w:t xml:space="preserve"> be paired with a </w:t>
            </w:r>
            <w:r w:rsidR="00C4083C">
              <w:rPr>
                <w:szCs w:val="22"/>
              </w:rPr>
              <w:t>health savings account (HSA),</w:t>
            </w:r>
            <w:r w:rsidR="0090351D" w:rsidRPr="009F5CCB">
              <w:rPr>
                <w:szCs w:val="22"/>
              </w:rPr>
              <w:t xml:space="preserve"> which some consumer</w:t>
            </w:r>
            <w:r w:rsidR="00C4083C">
              <w:rPr>
                <w:szCs w:val="22"/>
              </w:rPr>
              <w:t>s</w:t>
            </w:r>
            <w:r w:rsidR="0090351D" w:rsidRPr="009F5CCB">
              <w:rPr>
                <w:szCs w:val="22"/>
              </w:rPr>
              <w:t xml:space="preserve"> may prefer</w:t>
            </w:r>
            <w:r w:rsidR="009F5CCB">
              <w:rPr>
                <w:szCs w:val="22"/>
              </w:rPr>
              <w:t xml:space="preserve">. The workgroup discussed whether </w:t>
            </w:r>
            <w:r w:rsidR="009F5CCB">
              <w:rPr>
                <w:szCs w:val="22"/>
              </w:rPr>
              <w:lastRenderedPageBreak/>
              <w:t xml:space="preserve">consumers purchasing plans through public programs are able to afford the HSA option. The workgroup was reminded that this option will not remove high deductible options but add a new low deductible plan </w:t>
            </w:r>
            <w:r w:rsidR="00C4083C">
              <w:rPr>
                <w:szCs w:val="22"/>
              </w:rPr>
              <w:t>that</w:t>
            </w:r>
            <w:r w:rsidR="009F5CCB">
              <w:rPr>
                <w:szCs w:val="22"/>
              </w:rPr>
              <w:t xml:space="preserve"> is not currently available to consumers. </w:t>
            </w:r>
          </w:p>
          <w:p w14:paraId="0E720C14" w14:textId="77777777" w:rsidR="007E2213" w:rsidRDefault="00BE3D57" w:rsidP="007E2213">
            <w:pPr>
              <w:pStyle w:val="ListParagraph"/>
              <w:numPr>
                <w:ilvl w:val="0"/>
                <w:numId w:val="12"/>
              </w:numPr>
              <w:spacing w:after="0"/>
              <w:rPr>
                <w:szCs w:val="22"/>
              </w:rPr>
            </w:pPr>
            <w:r>
              <w:rPr>
                <w:szCs w:val="22"/>
              </w:rPr>
              <w:t>Ms. Karl reviewed</w:t>
            </w:r>
            <w:r w:rsidR="007E2213">
              <w:rPr>
                <w:szCs w:val="22"/>
              </w:rPr>
              <w:t xml:space="preserve"> two </w:t>
            </w:r>
            <w:r>
              <w:rPr>
                <w:szCs w:val="22"/>
              </w:rPr>
              <w:t>additional options</w:t>
            </w:r>
            <w:r w:rsidR="007E2213">
              <w:rPr>
                <w:szCs w:val="22"/>
              </w:rPr>
              <w:t xml:space="preserve"> for addressing high deductible QHP products</w:t>
            </w:r>
            <w:r>
              <w:rPr>
                <w:szCs w:val="22"/>
              </w:rPr>
              <w:t>:</w:t>
            </w:r>
            <w:r w:rsidR="007E2213">
              <w:rPr>
                <w:szCs w:val="22"/>
              </w:rPr>
              <w:t xml:space="preserve"> (1) require </w:t>
            </w:r>
            <w:r w:rsidR="009F5CCB">
              <w:rPr>
                <w:szCs w:val="22"/>
              </w:rPr>
              <w:t xml:space="preserve">that </w:t>
            </w:r>
            <w:r w:rsidR="007E2213">
              <w:rPr>
                <w:szCs w:val="22"/>
              </w:rPr>
              <w:t xml:space="preserve">carriers offer products with low or no deductible options, and (2) exempt services from deductibles to incentivize utilization of primary care and generic prescription drugs. </w:t>
            </w:r>
          </w:p>
          <w:p w14:paraId="0E720C15" w14:textId="77777777" w:rsidR="000156BE" w:rsidRPr="006F4C69" w:rsidRDefault="000156BE" w:rsidP="000156BE">
            <w:pPr>
              <w:pStyle w:val="ListParagraph"/>
              <w:numPr>
                <w:ilvl w:val="1"/>
                <w:numId w:val="12"/>
              </w:numPr>
              <w:spacing w:after="0"/>
              <w:rPr>
                <w:szCs w:val="22"/>
              </w:rPr>
            </w:pPr>
            <w:r w:rsidRPr="006F4C69">
              <w:rPr>
                <w:szCs w:val="22"/>
              </w:rPr>
              <w:t xml:space="preserve">The workgroup </w:t>
            </w:r>
            <w:r w:rsidR="0083313D">
              <w:rPr>
                <w:szCs w:val="22"/>
              </w:rPr>
              <w:t>discussed</w:t>
            </w:r>
            <w:r w:rsidRPr="006F4C69">
              <w:rPr>
                <w:szCs w:val="22"/>
              </w:rPr>
              <w:t xml:space="preserve"> how </w:t>
            </w:r>
            <w:r w:rsidR="006F4C69" w:rsidRPr="006F4C69">
              <w:rPr>
                <w:szCs w:val="22"/>
              </w:rPr>
              <w:t>plans may offer a low</w:t>
            </w:r>
            <w:r w:rsidR="003C7312">
              <w:rPr>
                <w:szCs w:val="22"/>
              </w:rPr>
              <w:t xml:space="preserve"> </w:t>
            </w:r>
            <w:r w:rsidR="006F4C69" w:rsidRPr="006F4C69">
              <w:rPr>
                <w:szCs w:val="22"/>
              </w:rPr>
              <w:t>deductible option while keeping the 70% actuarial value of a silver plan</w:t>
            </w:r>
            <w:r w:rsidR="006F4C69">
              <w:rPr>
                <w:szCs w:val="22"/>
              </w:rPr>
              <w:t xml:space="preserve"> through spreading cost-sharing over the entire year instead of requiring an early deductible</w:t>
            </w:r>
            <w:r w:rsidR="006F4C69" w:rsidRPr="006F4C69">
              <w:rPr>
                <w:szCs w:val="22"/>
              </w:rPr>
              <w:t xml:space="preserve">. It was noted that changing deductibles will always require changes to co-insurance, if premium is to remain constant. </w:t>
            </w:r>
            <w:r w:rsidR="003851EA" w:rsidRPr="006F4C69">
              <w:rPr>
                <w:szCs w:val="22"/>
              </w:rPr>
              <w:t>The workgroup was reminded that issuers cover certain services</w:t>
            </w:r>
            <w:r w:rsidR="006F4C69">
              <w:rPr>
                <w:szCs w:val="22"/>
              </w:rPr>
              <w:t xml:space="preserve"> at zero deductible, as required by the ACA</w:t>
            </w:r>
            <w:r w:rsidR="003851EA" w:rsidRPr="006F4C69">
              <w:rPr>
                <w:szCs w:val="22"/>
              </w:rPr>
              <w:t xml:space="preserve">. </w:t>
            </w:r>
            <w:r w:rsidRPr="006F4C69">
              <w:rPr>
                <w:szCs w:val="22"/>
              </w:rPr>
              <w:t xml:space="preserve">The workgroup agreed that it would be helpful to </w:t>
            </w:r>
            <w:r w:rsidR="006F4C69">
              <w:rPr>
                <w:szCs w:val="22"/>
              </w:rPr>
              <w:t>review New York’s standard</w:t>
            </w:r>
            <w:r w:rsidRPr="006F4C69">
              <w:rPr>
                <w:szCs w:val="22"/>
              </w:rPr>
              <w:t xml:space="preserve"> plan design at 70% AV</w:t>
            </w:r>
            <w:r w:rsidR="003C7312">
              <w:rPr>
                <w:szCs w:val="22"/>
              </w:rPr>
              <w:t>,</w:t>
            </w:r>
            <w:r w:rsidRPr="006F4C69">
              <w:rPr>
                <w:szCs w:val="22"/>
              </w:rPr>
              <w:t xml:space="preserve"> which requires $0 deductible. </w:t>
            </w:r>
          </w:p>
          <w:p w14:paraId="0E720C16" w14:textId="77777777" w:rsidR="002F2235" w:rsidRDefault="003851EA" w:rsidP="003851EA">
            <w:pPr>
              <w:pStyle w:val="ListParagraph"/>
              <w:numPr>
                <w:ilvl w:val="0"/>
                <w:numId w:val="12"/>
              </w:numPr>
              <w:spacing w:after="0"/>
              <w:rPr>
                <w:szCs w:val="22"/>
              </w:rPr>
            </w:pPr>
            <w:r>
              <w:rPr>
                <w:szCs w:val="22"/>
              </w:rPr>
              <w:t>Ms. Karl provided an overview of two other options for addressing high deductible QHP products including creating standard cost-sharing product</w:t>
            </w:r>
            <w:r w:rsidR="0078111F">
              <w:rPr>
                <w:szCs w:val="22"/>
              </w:rPr>
              <w:t>s</w:t>
            </w:r>
            <w:r>
              <w:rPr>
                <w:szCs w:val="22"/>
              </w:rPr>
              <w:t xml:space="preserve"> across all types of cost-sharing (co-insurance, co-payments, and deductibles)</w:t>
            </w:r>
            <w:r w:rsidR="00A01416">
              <w:rPr>
                <w:szCs w:val="22"/>
              </w:rPr>
              <w:t xml:space="preserve"> and limit</w:t>
            </w:r>
            <w:r w:rsidR="0078111F">
              <w:rPr>
                <w:szCs w:val="22"/>
              </w:rPr>
              <w:t>ing</w:t>
            </w:r>
            <w:r w:rsidR="00A01416">
              <w:rPr>
                <w:szCs w:val="22"/>
              </w:rPr>
              <w:t xml:space="preserve"> the number of non-standard plans a carrier may offer to reduce consumer confusion. </w:t>
            </w:r>
          </w:p>
          <w:p w14:paraId="0E720C17" w14:textId="77777777" w:rsidR="00A01416" w:rsidRPr="00D57876" w:rsidRDefault="00A01416" w:rsidP="00A01416">
            <w:pPr>
              <w:pStyle w:val="ListParagraph"/>
              <w:numPr>
                <w:ilvl w:val="1"/>
                <w:numId w:val="12"/>
              </w:numPr>
              <w:spacing w:after="0"/>
              <w:rPr>
                <w:szCs w:val="22"/>
              </w:rPr>
            </w:pPr>
            <w:r w:rsidRPr="00D57876">
              <w:rPr>
                <w:szCs w:val="22"/>
              </w:rPr>
              <w:t xml:space="preserve">A workgroup member raised concern over the number of plans </w:t>
            </w:r>
            <w:r w:rsidR="00FA4EAF" w:rsidRPr="00D57876">
              <w:rPr>
                <w:szCs w:val="22"/>
              </w:rPr>
              <w:t>being offered</w:t>
            </w:r>
            <w:r w:rsidR="003C7312">
              <w:rPr>
                <w:szCs w:val="22"/>
              </w:rPr>
              <w:t xml:space="preserve"> and consumer and provider confusion in understanding </w:t>
            </w:r>
            <w:r w:rsidR="00FA4EAF" w:rsidRPr="00D57876">
              <w:rPr>
                <w:szCs w:val="22"/>
              </w:rPr>
              <w:t>the services each plan</w:t>
            </w:r>
            <w:r w:rsidRPr="00D57876">
              <w:rPr>
                <w:szCs w:val="22"/>
              </w:rPr>
              <w:t xml:space="preserve"> cover</w:t>
            </w:r>
            <w:r w:rsidR="00FA4EAF" w:rsidRPr="00D57876">
              <w:rPr>
                <w:szCs w:val="22"/>
              </w:rPr>
              <w:t>s.</w:t>
            </w:r>
            <w:r w:rsidRPr="00D57876">
              <w:rPr>
                <w:szCs w:val="22"/>
              </w:rPr>
              <w:t xml:space="preserve"> </w:t>
            </w:r>
            <w:r w:rsidR="00D57876" w:rsidRPr="00D57876">
              <w:rPr>
                <w:szCs w:val="22"/>
              </w:rPr>
              <w:t xml:space="preserve">There was discussion regarding the benefits and drawbacks of more plan offerings. It was agreed that for individual consumers without assistance, the volume of plan offerings can be confusing. However, the state spent significant time and money in developing an infrastructure of in-person assisters to help consumers choose the best plan for them, which requires choice. The impact of choosing </w:t>
            </w:r>
            <w:r w:rsidR="00D57876">
              <w:rPr>
                <w:szCs w:val="22"/>
              </w:rPr>
              <w:t>the best</w:t>
            </w:r>
            <w:r w:rsidR="00D57876" w:rsidRPr="00D57876">
              <w:rPr>
                <w:szCs w:val="22"/>
              </w:rPr>
              <w:t xml:space="preserve"> plan on downstream access to care was discussed, with an emphasis on low-income and underserved individuals.</w:t>
            </w:r>
          </w:p>
          <w:p w14:paraId="0E720C18" w14:textId="77777777" w:rsidR="00E735E2" w:rsidRPr="00557A3B" w:rsidRDefault="00D57876" w:rsidP="00557A3B">
            <w:pPr>
              <w:pStyle w:val="ListParagraph"/>
              <w:numPr>
                <w:ilvl w:val="1"/>
                <w:numId w:val="12"/>
              </w:numPr>
              <w:spacing w:after="0"/>
              <w:rPr>
                <w:szCs w:val="22"/>
              </w:rPr>
            </w:pPr>
            <w:r>
              <w:rPr>
                <w:szCs w:val="22"/>
              </w:rPr>
              <w:t>The workgroup discussed benefit design, including an evaluation of the alternative benchmark plans to better understand cost-sharing</w:t>
            </w:r>
            <w:r w:rsidR="00557A3B">
              <w:rPr>
                <w:szCs w:val="22"/>
              </w:rPr>
              <w:t xml:space="preserve"> in other programs. It was mentioned that standard benefit </w:t>
            </w:r>
            <w:r w:rsidR="00557A3B">
              <w:rPr>
                <w:szCs w:val="22"/>
              </w:rPr>
              <w:lastRenderedPageBreak/>
              <w:t xml:space="preserve">design could apply only to MNsure products or to the entire individual market, if the state has the regulatory authority for the market generally. Even if the state is unable to regulate off-Marketplace, any plans available through MNsure must be available off-Marketplace which would help to standardize all plans. </w:t>
            </w:r>
          </w:p>
        </w:tc>
      </w:tr>
      <w:tr w:rsidR="00A1336C" w14:paraId="0E720C22" w14:textId="77777777" w:rsidTr="00C44D92">
        <w:tc>
          <w:tcPr>
            <w:tcW w:w="3235" w:type="dxa"/>
          </w:tcPr>
          <w:p w14:paraId="0E720C1A" w14:textId="77777777" w:rsidR="00A1336C" w:rsidRPr="002625B3" w:rsidRDefault="00D3777E" w:rsidP="001B15A4">
            <w:pPr>
              <w:rPr>
                <w:b/>
                <w:szCs w:val="22"/>
              </w:rPr>
            </w:pPr>
            <w:r>
              <w:rPr>
                <w:b/>
                <w:szCs w:val="22"/>
              </w:rPr>
              <w:lastRenderedPageBreak/>
              <w:t>Options and Considerations for Reducing Structural Barriers and Disparities, Part 1</w:t>
            </w:r>
          </w:p>
        </w:tc>
        <w:tc>
          <w:tcPr>
            <w:tcW w:w="1710" w:type="dxa"/>
          </w:tcPr>
          <w:p w14:paraId="0E720C1B" w14:textId="77777777" w:rsidR="00A1336C" w:rsidRDefault="00332AD7" w:rsidP="001B15A4">
            <w:r>
              <w:t>Manatt</w:t>
            </w:r>
          </w:p>
        </w:tc>
        <w:tc>
          <w:tcPr>
            <w:tcW w:w="5845" w:type="dxa"/>
          </w:tcPr>
          <w:p w14:paraId="0E720C1C" w14:textId="77777777" w:rsidR="00D07AF5" w:rsidRPr="00BA26D9" w:rsidRDefault="00557A3B" w:rsidP="00D07AF5">
            <w:pPr>
              <w:pStyle w:val="ListParagraph"/>
              <w:numPr>
                <w:ilvl w:val="0"/>
                <w:numId w:val="12"/>
              </w:numPr>
              <w:spacing w:after="0"/>
              <w:rPr>
                <w:i/>
                <w:szCs w:val="22"/>
              </w:rPr>
            </w:pPr>
            <w:r>
              <w:rPr>
                <w:szCs w:val="22"/>
              </w:rPr>
              <w:t>Ms. Alice Lam of Manatt</w:t>
            </w:r>
            <w:r w:rsidR="00234BE3">
              <w:rPr>
                <w:szCs w:val="22"/>
              </w:rPr>
              <w:t xml:space="preserve"> provided an overview of last week’s discussion on aligning benefits across the coverage continuum. She discussed the ten essential health benefits</w:t>
            </w:r>
            <w:r w:rsidR="00F92F2F">
              <w:rPr>
                <w:szCs w:val="22"/>
              </w:rPr>
              <w:t xml:space="preserve"> (EHBs)</w:t>
            </w:r>
            <w:r w:rsidR="00234BE3">
              <w:rPr>
                <w:szCs w:val="22"/>
              </w:rPr>
              <w:t xml:space="preserve"> which apply to both Medicaid expansion and i</w:t>
            </w:r>
            <w:r w:rsidR="006247B8">
              <w:rPr>
                <w:szCs w:val="22"/>
              </w:rPr>
              <w:t>ndividual and small group coverage</w:t>
            </w:r>
            <w:r w:rsidR="00234BE3">
              <w:rPr>
                <w:szCs w:val="22"/>
              </w:rPr>
              <w:t xml:space="preserve">. </w:t>
            </w:r>
            <w:r w:rsidR="00F92F2F">
              <w:rPr>
                <w:szCs w:val="22"/>
              </w:rPr>
              <w:t>Ms. Lam</w:t>
            </w:r>
            <w:r w:rsidR="00234BE3">
              <w:rPr>
                <w:szCs w:val="22"/>
              </w:rPr>
              <w:t xml:space="preserve"> noted the</w:t>
            </w:r>
            <w:r w:rsidR="006247B8">
              <w:rPr>
                <w:szCs w:val="22"/>
              </w:rPr>
              <w:t xml:space="preserve"> EHB requirement allows for a base of alignment but benefit differences do remain between coverage programs. Ms. Lam noted that Minnesota generally has more robust benefits in its coverage programs and that while</w:t>
            </w:r>
            <w:r w:rsidR="00D07AF5">
              <w:rPr>
                <w:szCs w:val="22"/>
              </w:rPr>
              <w:t xml:space="preserve"> </w:t>
            </w:r>
            <w:r w:rsidR="00F92F2F">
              <w:rPr>
                <w:szCs w:val="22"/>
              </w:rPr>
              <w:t>c</w:t>
            </w:r>
            <w:r w:rsidR="00D07AF5">
              <w:rPr>
                <w:szCs w:val="22"/>
              </w:rPr>
              <w:t>hiropractor services</w:t>
            </w:r>
            <w:r w:rsidR="006247B8">
              <w:rPr>
                <w:szCs w:val="22"/>
              </w:rPr>
              <w:t xml:space="preserve"> may be included in individual and small group coverage</w:t>
            </w:r>
            <w:r w:rsidR="00D07AF5">
              <w:rPr>
                <w:szCs w:val="22"/>
              </w:rPr>
              <w:t xml:space="preserve"> </w:t>
            </w:r>
            <w:r w:rsidR="006247B8">
              <w:rPr>
                <w:szCs w:val="22"/>
              </w:rPr>
              <w:t>but not in Medicaid in some states, Minnesota does in fact cover chiropractor services</w:t>
            </w:r>
            <w:r w:rsidR="00D07AF5">
              <w:rPr>
                <w:szCs w:val="22"/>
              </w:rPr>
              <w:t xml:space="preserve"> in Medical Assistance</w:t>
            </w:r>
            <w:r w:rsidR="00234BE3">
              <w:rPr>
                <w:szCs w:val="22"/>
              </w:rPr>
              <w:t xml:space="preserve">. </w:t>
            </w:r>
            <w:r w:rsidR="00F92F2F">
              <w:rPr>
                <w:szCs w:val="22"/>
              </w:rPr>
              <w:t xml:space="preserve">She reminded the workgroup that </w:t>
            </w:r>
            <w:r w:rsidR="00D07AF5">
              <w:rPr>
                <w:szCs w:val="22"/>
              </w:rPr>
              <w:t xml:space="preserve">choosing the same </w:t>
            </w:r>
            <w:r w:rsidR="006247B8">
              <w:rPr>
                <w:szCs w:val="22"/>
              </w:rPr>
              <w:t>EHB</w:t>
            </w:r>
            <w:r w:rsidR="00D07AF5">
              <w:rPr>
                <w:szCs w:val="22"/>
              </w:rPr>
              <w:t xml:space="preserve"> benchmark plan</w:t>
            </w:r>
            <w:r w:rsidR="00F92F2F">
              <w:rPr>
                <w:szCs w:val="22"/>
              </w:rPr>
              <w:t xml:space="preserve"> across programs</w:t>
            </w:r>
            <w:r w:rsidR="00D07AF5">
              <w:rPr>
                <w:szCs w:val="22"/>
              </w:rPr>
              <w:t xml:space="preserve"> would allow for </w:t>
            </w:r>
            <w:r w:rsidR="00F92F2F">
              <w:rPr>
                <w:szCs w:val="22"/>
              </w:rPr>
              <w:t xml:space="preserve">greater </w:t>
            </w:r>
            <w:r w:rsidR="00D07AF5">
              <w:rPr>
                <w:szCs w:val="22"/>
              </w:rPr>
              <w:t>alignment</w:t>
            </w:r>
            <w:r w:rsidR="00F92F2F">
              <w:rPr>
                <w:szCs w:val="22"/>
              </w:rPr>
              <w:t>.</w:t>
            </w:r>
            <w:r w:rsidR="00D07AF5">
              <w:rPr>
                <w:szCs w:val="22"/>
              </w:rPr>
              <w:t xml:space="preserve"> </w:t>
            </w:r>
          </w:p>
          <w:p w14:paraId="0E720C1D" w14:textId="77777777" w:rsidR="00D932F1" w:rsidRPr="00D932F1" w:rsidRDefault="00F92F2F" w:rsidP="00053021">
            <w:pPr>
              <w:pStyle w:val="ListParagraph"/>
              <w:numPr>
                <w:ilvl w:val="1"/>
                <w:numId w:val="12"/>
              </w:numPr>
              <w:spacing w:after="0"/>
              <w:rPr>
                <w:i/>
                <w:szCs w:val="22"/>
              </w:rPr>
            </w:pPr>
            <w:r>
              <w:rPr>
                <w:szCs w:val="22"/>
              </w:rPr>
              <w:t xml:space="preserve">The workgroup’s discussion focused on the history and importance of the EHB benchmark plan. Specifically, a workgroup member provided an overview of the Institute of Medicine’s (IOM) role in determining the benchmark for coverage would be deferred to the states to choose a plan which encompasses the ten EHBs. The benchmark is used to further define EHB and the state may choose to go above and beyond the EHBs, if it so desires. Minnesota defaulted to a small employer group plan </w:t>
            </w:r>
            <w:r w:rsidR="00D932F1">
              <w:rPr>
                <w:szCs w:val="22"/>
              </w:rPr>
              <w:t xml:space="preserve">which defined 62 EHBs, far exceed the ten federal EHBs. </w:t>
            </w:r>
          </w:p>
          <w:p w14:paraId="0E720C1E" w14:textId="77777777" w:rsidR="00F92F2F" w:rsidRPr="00F92F2F" w:rsidRDefault="00D932F1" w:rsidP="00053021">
            <w:pPr>
              <w:pStyle w:val="ListParagraph"/>
              <w:numPr>
                <w:ilvl w:val="1"/>
                <w:numId w:val="12"/>
              </w:numPr>
              <w:spacing w:after="0"/>
              <w:rPr>
                <w:i/>
                <w:szCs w:val="22"/>
              </w:rPr>
            </w:pPr>
            <w:r>
              <w:rPr>
                <w:szCs w:val="22"/>
              </w:rPr>
              <w:t xml:space="preserve">The workgroup member provided an overview of the implications of changing the benchmark plan noting that the details of coverage would change for each plan in the State. It was mentioned that earlier this year the state was given the opportunity to change to a different EHB benchmark plan but ultimately defaulted to the same plan due to a question of which agency had the authority to make the change. If the state were to decide to change the benchmark for 2018, the state would need to determine the agency with the authority to do so.  </w:t>
            </w:r>
          </w:p>
          <w:p w14:paraId="0E720C1F" w14:textId="77777777" w:rsidR="00F92F2F" w:rsidRPr="00F92F2F" w:rsidRDefault="00222014" w:rsidP="00053021">
            <w:pPr>
              <w:pStyle w:val="ListParagraph"/>
              <w:numPr>
                <w:ilvl w:val="1"/>
                <w:numId w:val="12"/>
              </w:numPr>
              <w:spacing w:after="0"/>
              <w:rPr>
                <w:i/>
                <w:szCs w:val="22"/>
              </w:rPr>
            </w:pPr>
            <w:r>
              <w:rPr>
                <w:szCs w:val="22"/>
              </w:rPr>
              <w:t xml:space="preserve">The workgroup discussed the state reasons for pursuing a change in the benchmark. One member </w:t>
            </w:r>
            <w:r>
              <w:rPr>
                <w:szCs w:val="22"/>
              </w:rPr>
              <w:lastRenderedPageBreak/>
              <w:t xml:space="preserve">mentioned that the motivations could be different depending on whether stakeholders wanted to expand or decrease covered benefits. Ultimately, changing the benchmark plan could bring greater alignment between the private market and public programs. </w:t>
            </w:r>
          </w:p>
          <w:p w14:paraId="0E720C20" w14:textId="77777777" w:rsidR="00034270" w:rsidRPr="00405723" w:rsidRDefault="00034270" w:rsidP="00034270">
            <w:pPr>
              <w:pStyle w:val="ListParagraph"/>
              <w:numPr>
                <w:ilvl w:val="0"/>
                <w:numId w:val="12"/>
              </w:numPr>
              <w:spacing w:after="0"/>
              <w:rPr>
                <w:i/>
                <w:szCs w:val="22"/>
              </w:rPr>
            </w:pPr>
            <w:r w:rsidRPr="00405723">
              <w:rPr>
                <w:szCs w:val="22"/>
              </w:rPr>
              <w:t xml:space="preserve">Ms. Lam discussed benefits which are specifically excluded from EHB including: adult vision, adult dental, long-term nursing home care, and non-medically necessary orthodontia. </w:t>
            </w:r>
            <w:r w:rsidR="00405723" w:rsidRPr="00405723">
              <w:rPr>
                <w:szCs w:val="22"/>
              </w:rPr>
              <w:t xml:space="preserve">She noted that a state may choose to mandate these benefits as EHB but APTC may not be used towards those benefits. In addition, the state must directly pay for any new state mandated non-EHBs. </w:t>
            </w:r>
            <w:r w:rsidR="00D73462" w:rsidRPr="00405723">
              <w:rPr>
                <w:szCs w:val="22"/>
              </w:rPr>
              <w:t xml:space="preserve">She also discussed the </w:t>
            </w:r>
            <w:r w:rsidR="00405723">
              <w:rPr>
                <w:szCs w:val="22"/>
              </w:rPr>
              <w:t xml:space="preserve">differences in </w:t>
            </w:r>
            <w:r w:rsidR="00D73462" w:rsidRPr="00405723">
              <w:rPr>
                <w:szCs w:val="22"/>
              </w:rPr>
              <w:t xml:space="preserve">benefits </w:t>
            </w:r>
            <w:r w:rsidR="00405723">
              <w:rPr>
                <w:szCs w:val="22"/>
              </w:rPr>
              <w:t>provided through</w:t>
            </w:r>
            <w:r w:rsidR="00D73462" w:rsidRPr="00405723">
              <w:rPr>
                <w:szCs w:val="22"/>
              </w:rPr>
              <w:t xml:space="preserve"> Medical Assistance, Minnesota Care, and MNsure</w:t>
            </w:r>
            <w:r w:rsidR="00405723">
              <w:rPr>
                <w:szCs w:val="22"/>
              </w:rPr>
              <w:t xml:space="preserve"> QHPs</w:t>
            </w:r>
            <w:r w:rsidR="00D73462" w:rsidRPr="00405723">
              <w:rPr>
                <w:szCs w:val="22"/>
              </w:rPr>
              <w:t xml:space="preserve">. Most notably, dental and vision are offered in both Medical Assistance and MinnesotaCare </w:t>
            </w:r>
            <w:r w:rsidR="00405723">
              <w:rPr>
                <w:szCs w:val="22"/>
              </w:rPr>
              <w:t>and</w:t>
            </w:r>
            <w:r w:rsidR="00D73462" w:rsidRPr="00405723">
              <w:rPr>
                <w:szCs w:val="22"/>
              </w:rPr>
              <w:t xml:space="preserve"> are not offered through QHPs. Medical Assistance offers the most comprehensive set of benefits including nursing </w:t>
            </w:r>
            <w:r w:rsidR="00405723">
              <w:rPr>
                <w:szCs w:val="22"/>
              </w:rPr>
              <w:t xml:space="preserve">facility </w:t>
            </w:r>
            <w:r w:rsidR="00D73462" w:rsidRPr="00405723">
              <w:rPr>
                <w:szCs w:val="22"/>
              </w:rPr>
              <w:t xml:space="preserve">care and </w:t>
            </w:r>
            <w:r w:rsidR="00405723">
              <w:rPr>
                <w:szCs w:val="22"/>
              </w:rPr>
              <w:t>non-emergency medical transportation</w:t>
            </w:r>
            <w:r w:rsidR="00096068">
              <w:rPr>
                <w:szCs w:val="22"/>
              </w:rPr>
              <w:t xml:space="preserve"> (NEMT)</w:t>
            </w:r>
            <w:r w:rsidR="00D73462" w:rsidRPr="00405723">
              <w:rPr>
                <w:szCs w:val="22"/>
              </w:rPr>
              <w:t xml:space="preserve">. </w:t>
            </w:r>
          </w:p>
          <w:p w14:paraId="0E720C21" w14:textId="77777777" w:rsidR="00860195" w:rsidRPr="00D07AF5" w:rsidRDefault="00096068" w:rsidP="00096068">
            <w:pPr>
              <w:pStyle w:val="ListParagraph"/>
              <w:numPr>
                <w:ilvl w:val="0"/>
                <w:numId w:val="12"/>
              </w:numPr>
              <w:spacing w:after="0"/>
              <w:rPr>
                <w:i/>
                <w:szCs w:val="22"/>
              </w:rPr>
            </w:pPr>
            <w:r>
              <w:rPr>
                <w:szCs w:val="22"/>
              </w:rPr>
              <w:t>Ms. Lam reviewed four options for</w:t>
            </w:r>
            <w:r w:rsidR="00405723">
              <w:rPr>
                <w:szCs w:val="22"/>
              </w:rPr>
              <w:t xml:space="preserve"> addressing differences in benefits</w:t>
            </w:r>
            <w:r>
              <w:rPr>
                <w:szCs w:val="22"/>
              </w:rPr>
              <w:t xml:space="preserve">: (1) </w:t>
            </w:r>
            <w:r w:rsidR="00D73462">
              <w:rPr>
                <w:szCs w:val="22"/>
              </w:rPr>
              <w:t>us</w:t>
            </w:r>
            <w:r w:rsidR="00DA3878">
              <w:rPr>
                <w:szCs w:val="22"/>
              </w:rPr>
              <w:t>e</w:t>
            </w:r>
            <w:r w:rsidR="00D73462">
              <w:rPr>
                <w:szCs w:val="22"/>
              </w:rPr>
              <w:t xml:space="preserve"> the same benchmark plan to define EHB categories across Medical Assistance, MinnesotaCare, and QHPs through MNsure</w:t>
            </w:r>
            <w:r>
              <w:rPr>
                <w:szCs w:val="22"/>
              </w:rPr>
              <w:t xml:space="preserve">; (2) </w:t>
            </w:r>
            <w:r w:rsidR="00376BC7">
              <w:rPr>
                <w:szCs w:val="22"/>
              </w:rPr>
              <w:t>add a new EHB category to cover a h</w:t>
            </w:r>
            <w:r>
              <w:rPr>
                <w:szCs w:val="22"/>
              </w:rPr>
              <w:t xml:space="preserve">ighly valued service; (3) </w:t>
            </w:r>
            <w:r w:rsidR="00860195">
              <w:rPr>
                <w:szCs w:val="22"/>
              </w:rPr>
              <w:t>require all or some unique Medicaid benefits as EHBs in MinnesotaCare including NEMT</w:t>
            </w:r>
            <w:r>
              <w:rPr>
                <w:szCs w:val="22"/>
              </w:rPr>
              <w:t xml:space="preserve">; (4) </w:t>
            </w:r>
            <w:r w:rsidR="00860195">
              <w:rPr>
                <w:szCs w:val="22"/>
              </w:rPr>
              <w:t>waiving certain Medicaid benefits</w:t>
            </w:r>
            <w:r w:rsidR="00DA3878">
              <w:rPr>
                <w:szCs w:val="22"/>
              </w:rPr>
              <w:t xml:space="preserve"> to align more with the private market</w:t>
            </w:r>
            <w:r w:rsidR="00860195">
              <w:rPr>
                <w:szCs w:val="22"/>
              </w:rPr>
              <w:t xml:space="preserve">. Ms. Lam mentioned that </w:t>
            </w:r>
            <w:r w:rsidR="00DA3878">
              <w:rPr>
                <w:szCs w:val="22"/>
              </w:rPr>
              <w:t>select</w:t>
            </w:r>
            <w:r w:rsidR="00860195">
              <w:rPr>
                <w:szCs w:val="22"/>
              </w:rPr>
              <w:t xml:space="preserve"> states </w:t>
            </w:r>
            <w:r w:rsidR="00DA3878">
              <w:rPr>
                <w:szCs w:val="22"/>
              </w:rPr>
              <w:t xml:space="preserve">who are providing Medicaid to beneficiaries through QHPs </w:t>
            </w:r>
            <w:r w:rsidR="00860195">
              <w:rPr>
                <w:szCs w:val="22"/>
              </w:rPr>
              <w:t>have received federal authority to waive NEMT for adult Medical coverage</w:t>
            </w:r>
            <w:r w:rsidR="00DA3878">
              <w:rPr>
                <w:szCs w:val="22"/>
              </w:rPr>
              <w:t>.</w:t>
            </w:r>
          </w:p>
        </w:tc>
      </w:tr>
      <w:tr w:rsidR="00A1336C" w14:paraId="0E720C26" w14:textId="77777777" w:rsidTr="00C44D92">
        <w:tc>
          <w:tcPr>
            <w:tcW w:w="3235" w:type="dxa"/>
          </w:tcPr>
          <w:p w14:paraId="0E720C23" w14:textId="77777777" w:rsidR="00A1336C" w:rsidRDefault="00D3777E" w:rsidP="001B15A4">
            <w:pPr>
              <w:rPr>
                <w:b/>
                <w:szCs w:val="22"/>
              </w:rPr>
            </w:pPr>
            <w:r>
              <w:rPr>
                <w:b/>
                <w:szCs w:val="22"/>
              </w:rPr>
              <w:lastRenderedPageBreak/>
              <w:t>Preliminary Recommendations for Reducing Structural Barriers, Part 1</w:t>
            </w:r>
          </w:p>
        </w:tc>
        <w:tc>
          <w:tcPr>
            <w:tcW w:w="1710" w:type="dxa"/>
          </w:tcPr>
          <w:p w14:paraId="0E720C24" w14:textId="77777777" w:rsidR="00A1336C" w:rsidRDefault="00332AD7" w:rsidP="001B15A4">
            <w:r>
              <w:t>Manatt</w:t>
            </w:r>
          </w:p>
        </w:tc>
        <w:tc>
          <w:tcPr>
            <w:tcW w:w="5845" w:type="dxa"/>
          </w:tcPr>
          <w:p w14:paraId="0E720C25" w14:textId="77777777" w:rsidR="00692000" w:rsidRDefault="00D73462" w:rsidP="00692000">
            <w:pPr>
              <w:pStyle w:val="ListParagraph"/>
              <w:numPr>
                <w:ilvl w:val="0"/>
                <w:numId w:val="12"/>
              </w:numPr>
              <w:spacing w:after="0"/>
              <w:rPr>
                <w:i/>
                <w:szCs w:val="22"/>
              </w:rPr>
            </w:pPr>
            <w:r>
              <w:rPr>
                <w:szCs w:val="22"/>
              </w:rPr>
              <w:t>Discussion tabled to subsequent meeting due to time constraints</w:t>
            </w:r>
            <w:r w:rsidR="00096068">
              <w:rPr>
                <w:szCs w:val="22"/>
              </w:rPr>
              <w:t>.</w:t>
            </w:r>
            <w:r w:rsidR="00692000">
              <w:rPr>
                <w:szCs w:val="22"/>
              </w:rPr>
              <w:t xml:space="preserve"> </w:t>
            </w:r>
          </w:p>
        </w:tc>
      </w:tr>
      <w:tr w:rsidR="00D3777E" w14:paraId="0E720C31" w14:textId="77777777" w:rsidTr="00C44D92">
        <w:tc>
          <w:tcPr>
            <w:tcW w:w="3235" w:type="dxa"/>
          </w:tcPr>
          <w:p w14:paraId="0E720C27" w14:textId="77777777" w:rsidR="00D3777E" w:rsidRDefault="00D3777E" w:rsidP="001B15A4">
            <w:pPr>
              <w:rPr>
                <w:b/>
                <w:szCs w:val="22"/>
              </w:rPr>
            </w:pPr>
            <w:r>
              <w:rPr>
                <w:b/>
                <w:szCs w:val="22"/>
              </w:rPr>
              <w:t>Barriers Relating to Immigrant Access to Care</w:t>
            </w:r>
          </w:p>
        </w:tc>
        <w:tc>
          <w:tcPr>
            <w:tcW w:w="1710" w:type="dxa"/>
          </w:tcPr>
          <w:p w14:paraId="0E720C28" w14:textId="77777777" w:rsidR="00D3777E" w:rsidRDefault="00D3777E" w:rsidP="001B15A4">
            <w:r>
              <w:t>John Keller, Immigrant Law Center</w:t>
            </w:r>
          </w:p>
        </w:tc>
        <w:tc>
          <w:tcPr>
            <w:tcW w:w="5845" w:type="dxa"/>
          </w:tcPr>
          <w:p w14:paraId="0E720C29" w14:textId="77777777" w:rsidR="00D3777E" w:rsidRDefault="00E33EEF" w:rsidP="00692000">
            <w:pPr>
              <w:pStyle w:val="ListParagraph"/>
              <w:numPr>
                <w:ilvl w:val="0"/>
                <w:numId w:val="12"/>
              </w:numPr>
              <w:spacing w:after="0"/>
              <w:rPr>
                <w:szCs w:val="22"/>
              </w:rPr>
            </w:pPr>
            <w:r>
              <w:rPr>
                <w:szCs w:val="22"/>
              </w:rPr>
              <w:t xml:space="preserve">Mr. </w:t>
            </w:r>
            <w:r w:rsidR="001A2ADC">
              <w:rPr>
                <w:szCs w:val="22"/>
              </w:rPr>
              <w:t xml:space="preserve"> John </w:t>
            </w:r>
            <w:r>
              <w:rPr>
                <w:szCs w:val="22"/>
              </w:rPr>
              <w:t xml:space="preserve">Keller </w:t>
            </w:r>
            <w:r w:rsidR="001A2ADC">
              <w:rPr>
                <w:szCs w:val="22"/>
              </w:rPr>
              <w:t xml:space="preserve">of the Immigrant Law Center </w:t>
            </w:r>
            <w:r>
              <w:rPr>
                <w:szCs w:val="22"/>
              </w:rPr>
              <w:t xml:space="preserve">introduced an advocate to discuss the importance of health insurance coverage for immigrants in Minnesota. </w:t>
            </w:r>
            <w:r w:rsidR="00DA3878">
              <w:rPr>
                <w:szCs w:val="22"/>
              </w:rPr>
              <w:t xml:space="preserve">The advocate’s written testimony was submitted to the workgroup. </w:t>
            </w:r>
          </w:p>
          <w:p w14:paraId="0E720C2A" w14:textId="77777777" w:rsidR="00AD225E" w:rsidRDefault="00771927" w:rsidP="00771927">
            <w:pPr>
              <w:pStyle w:val="ListParagraph"/>
              <w:numPr>
                <w:ilvl w:val="0"/>
                <w:numId w:val="12"/>
              </w:numPr>
              <w:spacing w:after="0"/>
              <w:rPr>
                <w:szCs w:val="22"/>
              </w:rPr>
            </w:pPr>
            <w:r>
              <w:rPr>
                <w:szCs w:val="22"/>
              </w:rPr>
              <w:t xml:space="preserve">Mr. Keller provided an overview of the </w:t>
            </w:r>
            <w:r w:rsidR="00096068">
              <w:rPr>
                <w:szCs w:val="22"/>
              </w:rPr>
              <w:t>Immigrant L</w:t>
            </w:r>
            <w:r>
              <w:rPr>
                <w:szCs w:val="22"/>
              </w:rPr>
              <w:t xml:space="preserve">aw </w:t>
            </w:r>
            <w:r w:rsidR="00096068">
              <w:rPr>
                <w:szCs w:val="22"/>
              </w:rPr>
              <w:t>C</w:t>
            </w:r>
            <w:r>
              <w:rPr>
                <w:szCs w:val="22"/>
              </w:rPr>
              <w:t>enter’s mission to</w:t>
            </w:r>
            <w:r w:rsidR="00DA3878">
              <w:rPr>
                <w:szCs w:val="22"/>
              </w:rPr>
              <w:t xml:space="preserve"> serve as the intersection between</w:t>
            </w:r>
            <w:r>
              <w:rPr>
                <w:szCs w:val="22"/>
              </w:rPr>
              <w:t xml:space="preserve"> health care and immigration policy. He provided testimony from an individual who is an immigrant </w:t>
            </w:r>
            <w:r w:rsidR="00DA3878">
              <w:rPr>
                <w:szCs w:val="22"/>
              </w:rPr>
              <w:t>with health conditions that have limited</w:t>
            </w:r>
            <w:r>
              <w:rPr>
                <w:szCs w:val="22"/>
              </w:rPr>
              <w:t xml:space="preserve"> his ability to work. The individual</w:t>
            </w:r>
            <w:r w:rsidR="002A27F5">
              <w:rPr>
                <w:szCs w:val="22"/>
              </w:rPr>
              <w:t xml:space="preserve">’s written testimony was submitted to the workgroup. </w:t>
            </w:r>
          </w:p>
          <w:p w14:paraId="0E720C2B" w14:textId="77777777" w:rsidR="002A27F5" w:rsidRDefault="00AD225E" w:rsidP="0002001B">
            <w:pPr>
              <w:pStyle w:val="ListParagraph"/>
              <w:numPr>
                <w:ilvl w:val="0"/>
                <w:numId w:val="12"/>
              </w:numPr>
              <w:spacing w:after="0"/>
              <w:rPr>
                <w:szCs w:val="22"/>
              </w:rPr>
            </w:pPr>
            <w:r>
              <w:rPr>
                <w:szCs w:val="22"/>
              </w:rPr>
              <w:t>Mr. Keller stated that the largest</w:t>
            </w:r>
            <w:r w:rsidR="002A27F5">
              <w:rPr>
                <w:szCs w:val="22"/>
              </w:rPr>
              <w:t xml:space="preserve"> barrier to access for immigrants is being undocumented without a legal status </w:t>
            </w:r>
            <w:r w:rsidR="002A27F5">
              <w:rPr>
                <w:szCs w:val="22"/>
              </w:rPr>
              <w:lastRenderedPageBreak/>
              <w:t>or havin</w:t>
            </w:r>
            <w:r w:rsidR="00096068">
              <w:rPr>
                <w:szCs w:val="22"/>
              </w:rPr>
              <w:t>g a status that restricts them from eligibility for</w:t>
            </w:r>
            <w:r w:rsidR="002A27F5">
              <w:rPr>
                <w:szCs w:val="22"/>
              </w:rPr>
              <w:t xml:space="preserve"> public </w:t>
            </w:r>
            <w:r w:rsidR="00096068">
              <w:rPr>
                <w:szCs w:val="22"/>
              </w:rPr>
              <w:t>programs</w:t>
            </w:r>
            <w:r w:rsidR="002A27F5">
              <w:rPr>
                <w:szCs w:val="22"/>
              </w:rPr>
              <w:t xml:space="preserve">. </w:t>
            </w:r>
            <w:r w:rsidR="008A2ED0">
              <w:rPr>
                <w:szCs w:val="22"/>
              </w:rPr>
              <w:t xml:space="preserve">Mr. Keller reminded the workgroup that individuals who are undocumented and uninsured often forego primary care and instead seek expensive emergency care. </w:t>
            </w:r>
            <w:r w:rsidR="00096068">
              <w:rPr>
                <w:szCs w:val="22"/>
              </w:rPr>
              <w:t>A</w:t>
            </w:r>
            <w:r w:rsidR="002A27F5">
              <w:rPr>
                <w:szCs w:val="22"/>
              </w:rPr>
              <w:t>pproximately 95,000 undocumented immigrants</w:t>
            </w:r>
            <w:r w:rsidR="00096068">
              <w:rPr>
                <w:szCs w:val="22"/>
              </w:rPr>
              <w:t xml:space="preserve"> reside in Minnesota</w:t>
            </w:r>
            <w:r w:rsidR="002A27F5">
              <w:rPr>
                <w:szCs w:val="22"/>
              </w:rPr>
              <w:t>. Of this populati</w:t>
            </w:r>
            <w:r w:rsidR="00096068">
              <w:rPr>
                <w:szCs w:val="22"/>
              </w:rPr>
              <w:t>on, approximately 1/3 have a U.S.-</w:t>
            </w:r>
            <w:r w:rsidR="002A27F5">
              <w:rPr>
                <w:szCs w:val="22"/>
              </w:rPr>
              <w:t xml:space="preserve">born child, 65% have a GED, and approximately 1/3 have purchased their homes. Undocumented immigrants tend to live in the country for approximately 15 years. </w:t>
            </w:r>
          </w:p>
          <w:p w14:paraId="0E720C2C" w14:textId="77777777" w:rsidR="000B0942" w:rsidRDefault="000B0942" w:rsidP="000B0942">
            <w:pPr>
              <w:pStyle w:val="ListParagraph"/>
              <w:numPr>
                <w:ilvl w:val="0"/>
                <w:numId w:val="12"/>
              </w:numPr>
              <w:spacing w:after="0"/>
              <w:rPr>
                <w:szCs w:val="22"/>
              </w:rPr>
            </w:pPr>
            <w:r>
              <w:rPr>
                <w:szCs w:val="22"/>
              </w:rPr>
              <w:t>Mr. Keller recommended Minnesota address the</w:t>
            </w:r>
            <w:r w:rsidR="008A2ED0">
              <w:rPr>
                <w:szCs w:val="22"/>
              </w:rPr>
              <w:t xml:space="preserve"> issues surrounding undocume</w:t>
            </w:r>
            <w:r w:rsidR="00096068">
              <w:rPr>
                <w:szCs w:val="22"/>
              </w:rPr>
              <w:t>nted immigrants and health care</w:t>
            </w:r>
            <w:r w:rsidR="008A2ED0">
              <w:rPr>
                <w:szCs w:val="22"/>
              </w:rPr>
              <w:t xml:space="preserve">. </w:t>
            </w:r>
          </w:p>
          <w:p w14:paraId="0E720C2D" w14:textId="77777777" w:rsidR="00004F3D" w:rsidRDefault="00004F3D" w:rsidP="00004F3D">
            <w:pPr>
              <w:pStyle w:val="ListParagraph"/>
              <w:numPr>
                <w:ilvl w:val="1"/>
                <w:numId w:val="12"/>
              </w:numPr>
              <w:spacing w:after="0"/>
              <w:rPr>
                <w:szCs w:val="22"/>
              </w:rPr>
            </w:pPr>
            <w:r>
              <w:rPr>
                <w:szCs w:val="22"/>
              </w:rPr>
              <w:t xml:space="preserve">The workgroup </w:t>
            </w:r>
            <w:r w:rsidR="000F690C">
              <w:rPr>
                <w:szCs w:val="22"/>
              </w:rPr>
              <w:t>requested more information on the uninsured rate of undocumented immigrants</w:t>
            </w:r>
            <w:r w:rsidR="00DA7486">
              <w:rPr>
                <w:szCs w:val="22"/>
              </w:rPr>
              <w:t>.</w:t>
            </w:r>
            <w:r>
              <w:rPr>
                <w:szCs w:val="22"/>
              </w:rPr>
              <w:t xml:space="preserve"> </w:t>
            </w:r>
          </w:p>
          <w:p w14:paraId="0E720C2E" w14:textId="77777777" w:rsidR="003C1545" w:rsidRDefault="000F690C" w:rsidP="00004F3D">
            <w:pPr>
              <w:pStyle w:val="ListParagraph"/>
              <w:numPr>
                <w:ilvl w:val="1"/>
                <w:numId w:val="12"/>
              </w:numPr>
              <w:spacing w:after="0"/>
              <w:rPr>
                <w:szCs w:val="22"/>
              </w:rPr>
            </w:pPr>
            <w:r>
              <w:rPr>
                <w:szCs w:val="22"/>
              </w:rPr>
              <w:t xml:space="preserve">The workgroup discussed the impact of paying for coverage of undocumented immigrants through the emergency room uncompensated care pool. </w:t>
            </w:r>
            <w:r w:rsidR="008F663D">
              <w:rPr>
                <w:szCs w:val="22"/>
              </w:rPr>
              <w:t>One member mentioned that patients without insurance may stay in expensive emergent care and not be admitted to a more appropriate in-patient facility because the hospital will only be reimbursed for emergent care. The workgroup was reminded that limited coverage is available for undocumented immigrants including pregnant women and emergency medical assistance.</w:t>
            </w:r>
          </w:p>
          <w:p w14:paraId="0E720C2F" w14:textId="77777777" w:rsidR="003C1545" w:rsidRDefault="003C1545" w:rsidP="00004F3D">
            <w:pPr>
              <w:pStyle w:val="ListParagraph"/>
              <w:numPr>
                <w:ilvl w:val="1"/>
                <w:numId w:val="12"/>
              </w:numPr>
              <w:spacing w:after="0"/>
              <w:rPr>
                <w:szCs w:val="22"/>
              </w:rPr>
            </w:pPr>
            <w:r>
              <w:rPr>
                <w:szCs w:val="22"/>
              </w:rPr>
              <w:t xml:space="preserve">A workgroup member raised that it is possible for undocumented individuals to get coverage through the individual market. However, often times individuals who are undocumented are also low-income and would be unable to afford unsubsidized coverage. </w:t>
            </w:r>
          </w:p>
          <w:p w14:paraId="0E720C30" w14:textId="77777777" w:rsidR="00C65B65" w:rsidRPr="003C1545" w:rsidRDefault="003C1545" w:rsidP="00096068">
            <w:pPr>
              <w:pStyle w:val="ListParagraph"/>
              <w:numPr>
                <w:ilvl w:val="1"/>
                <w:numId w:val="12"/>
              </w:numPr>
              <w:spacing w:after="0"/>
              <w:rPr>
                <w:szCs w:val="22"/>
              </w:rPr>
            </w:pPr>
            <w:r>
              <w:rPr>
                <w:szCs w:val="22"/>
              </w:rPr>
              <w:t xml:space="preserve">The workgroup also discussed </w:t>
            </w:r>
            <w:r w:rsidR="00096068">
              <w:rPr>
                <w:szCs w:val="22"/>
              </w:rPr>
              <w:t xml:space="preserve">mixed status families, </w:t>
            </w:r>
            <w:r>
              <w:rPr>
                <w:szCs w:val="22"/>
              </w:rPr>
              <w:t>where some individuals h</w:t>
            </w:r>
            <w:r w:rsidR="00096068">
              <w:rPr>
                <w:szCs w:val="22"/>
              </w:rPr>
              <w:t>ave legal status and others do no</w:t>
            </w:r>
            <w:r>
              <w:rPr>
                <w:szCs w:val="22"/>
              </w:rPr>
              <w:t xml:space="preserve">t. Often children may be able to obtain coverage but their parents will be uninsured impacting the care the entire family receives. </w:t>
            </w:r>
            <w:r w:rsidR="008F663D">
              <w:rPr>
                <w:szCs w:val="22"/>
              </w:rPr>
              <w:t xml:space="preserve"> </w:t>
            </w:r>
            <w:r w:rsidR="00DA7486" w:rsidRPr="003C1545">
              <w:rPr>
                <w:szCs w:val="22"/>
              </w:rPr>
              <w:t xml:space="preserve"> </w:t>
            </w:r>
          </w:p>
        </w:tc>
      </w:tr>
      <w:tr w:rsidR="00D3777E" w14:paraId="0E720C3C" w14:textId="77777777" w:rsidTr="00C44D92">
        <w:tc>
          <w:tcPr>
            <w:tcW w:w="3235" w:type="dxa"/>
          </w:tcPr>
          <w:p w14:paraId="0E720C32" w14:textId="77777777" w:rsidR="00D3777E" w:rsidRDefault="00D3777E" w:rsidP="001B15A4">
            <w:pPr>
              <w:rPr>
                <w:b/>
                <w:szCs w:val="22"/>
              </w:rPr>
            </w:pPr>
            <w:r>
              <w:rPr>
                <w:b/>
                <w:szCs w:val="22"/>
              </w:rPr>
              <w:lastRenderedPageBreak/>
              <w:t>Options and Considerations for Reducing Structural barriers and Disparities, Part 2</w:t>
            </w:r>
          </w:p>
        </w:tc>
        <w:tc>
          <w:tcPr>
            <w:tcW w:w="1710" w:type="dxa"/>
          </w:tcPr>
          <w:p w14:paraId="0E720C33" w14:textId="77777777" w:rsidR="00DE314B" w:rsidRDefault="00DE314B" w:rsidP="00DE314B">
            <w:r>
              <w:t>Mark Schoenbaum, Minnesota DOH</w:t>
            </w:r>
          </w:p>
          <w:p w14:paraId="0E720C34" w14:textId="77777777" w:rsidR="00D3777E" w:rsidRDefault="00DE314B" w:rsidP="00DE314B">
            <w:r>
              <w:t xml:space="preserve">Rosemond Sarpong Owens, Health Literacy/Cultural Competency Specialist for </w:t>
            </w:r>
            <w:r>
              <w:lastRenderedPageBreak/>
              <w:t>CentraCare Health</w:t>
            </w:r>
          </w:p>
        </w:tc>
        <w:tc>
          <w:tcPr>
            <w:tcW w:w="5845" w:type="dxa"/>
          </w:tcPr>
          <w:p w14:paraId="0E720C35" w14:textId="77777777" w:rsidR="00D3777E" w:rsidRDefault="007E7A07" w:rsidP="00692000">
            <w:pPr>
              <w:pStyle w:val="ListParagraph"/>
              <w:numPr>
                <w:ilvl w:val="0"/>
                <w:numId w:val="12"/>
              </w:numPr>
              <w:spacing w:after="0"/>
              <w:rPr>
                <w:szCs w:val="22"/>
              </w:rPr>
            </w:pPr>
            <w:r>
              <w:rPr>
                <w:szCs w:val="22"/>
              </w:rPr>
              <w:lastRenderedPageBreak/>
              <w:t xml:space="preserve">Ms. </w:t>
            </w:r>
            <w:r w:rsidR="00301C1E">
              <w:rPr>
                <w:szCs w:val="22"/>
              </w:rPr>
              <w:t xml:space="preserve">Rosemand </w:t>
            </w:r>
            <w:r>
              <w:rPr>
                <w:szCs w:val="22"/>
              </w:rPr>
              <w:t xml:space="preserve">Sarpong </w:t>
            </w:r>
            <w:r w:rsidR="00301C1E">
              <w:rPr>
                <w:szCs w:val="22"/>
              </w:rPr>
              <w:t xml:space="preserve">of CentraCare Health </w:t>
            </w:r>
            <w:r>
              <w:rPr>
                <w:szCs w:val="22"/>
              </w:rPr>
              <w:t xml:space="preserve">provided an overview of the state’s </w:t>
            </w:r>
            <w:r w:rsidR="008C5C7D">
              <w:rPr>
                <w:szCs w:val="22"/>
              </w:rPr>
              <w:t xml:space="preserve">geographic </w:t>
            </w:r>
            <w:r>
              <w:rPr>
                <w:szCs w:val="22"/>
              </w:rPr>
              <w:t xml:space="preserve">barriers to accessing coverage. </w:t>
            </w:r>
            <w:r w:rsidR="008C5C7D">
              <w:rPr>
                <w:szCs w:val="22"/>
              </w:rPr>
              <w:t xml:space="preserve">Specifically, </w:t>
            </w:r>
            <w:r w:rsidR="00301C1E">
              <w:rPr>
                <w:szCs w:val="22"/>
              </w:rPr>
              <w:t>she mentioned that</w:t>
            </w:r>
            <w:r w:rsidR="008C5C7D">
              <w:rPr>
                <w:szCs w:val="22"/>
              </w:rPr>
              <w:t xml:space="preserve"> primary care and specialty services are often located in cities and not rural areas</w:t>
            </w:r>
            <w:r w:rsidR="00096068">
              <w:rPr>
                <w:szCs w:val="22"/>
              </w:rPr>
              <w:t xml:space="preserve"> making it difficult for residents of rural areas</w:t>
            </w:r>
            <w:r w:rsidR="00301C1E">
              <w:rPr>
                <w:szCs w:val="22"/>
              </w:rPr>
              <w:t xml:space="preserve"> to access coverage. </w:t>
            </w:r>
          </w:p>
          <w:p w14:paraId="0E720C36" w14:textId="77777777" w:rsidR="00A42A38" w:rsidRDefault="0097599A" w:rsidP="00A42A38">
            <w:pPr>
              <w:pStyle w:val="ListParagraph"/>
              <w:numPr>
                <w:ilvl w:val="1"/>
                <w:numId w:val="12"/>
              </w:numPr>
              <w:spacing w:after="0"/>
              <w:rPr>
                <w:szCs w:val="22"/>
              </w:rPr>
            </w:pPr>
            <w:r>
              <w:rPr>
                <w:szCs w:val="22"/>
              </w:rPr>
              <w:t xml:space="preserve">The </w:t>
            </w:r>
            <w:r w:rsidR="00301C1E">
              <w:rPr>
                <w:szCs w:val="22"/>
              </w:rPr>
              <w:t xml:space="preserve">workgroup discussed the </w:t>
            </w:r>
            <w:r>
              <w:rPr>
                <w:szCs w:val="22"/>
              </w:rPr>
              <w:t>importance of NEMT as a benefit to reduce geographic barriers to accessing coverage</w:t>
            </w:r>
            <w:r w:rsidR="00301C1E">
              <w:rPr>
                <w:szCs w:val="22"/>
              </w:rPr>
              <w:t xml:space="preserve">. In addition, transportation of individuals between hospitals often contributes to high hospital cost as individuals are not able to </w:t>
            </w:r>
            <w:r w:rsidR="00301C1E">
              <w:rPr>
                <w:szCs w:val="22"/>
              </w:rPr>
              <w:lastRenderedPageBreak/>
              <w:t xml:space="preserve">obtain the appropriate level of care. The workgroup recommended further analysis on the upstream cost of patients not being transported to the appropriate facility. </w:t>
            </w:r>
          </w:p>
          <w:p w14:paraId="0E720C37" w14:textId="77777777" w:rsidR="00955407" w:rsidRDefault="00955407" w:rsidP="00692000">
            <w:pPr>
              <w:pStyle w:val="ListParagraph"/>
              <w:numPr>
                <w:ilvl w:val="0"/>
                <w:numId w:val="12"/>
              </w:numPr>
              <w:spacing w:after="0"/>
              <w:rPr>
                <w:szCs w:val="22"/>
              </w:rPr>
            </w:pPr>
            <w:r>
              <w:rPr>
                <w:szCs w:val="22"/>
              </w:rPr>
              <w:t>Ms. Sarpong discussed the current disparity</w:t>
            </w:r>
            <w:r w:rsidR="00301C1E">
              <w:rPr>
                <w:szCs w:val="22"/>
              </w:rPr>
              <w:t xml:space="preserve"> in Minnesota</w:t>
            </w:r>
            <w:r>
              <w:rPr>
                <w:szCs w:val="22"/>
              </w:rPr>
              <w:t xml:space="preserve"> between the racial/ethnic composition of the health care workforce and the communitie</w:t>
            </w:r>
            <w:r w:rsidR="00301C1E">
              <w:rPr>
                <w:szCs w:val="22"/>
              </w:rPr>
              <w:t>s which they serve</w:t>
            </w:r>
            <w:r>
              <w:rPr>
                <w:szCs w:val="22"/>
              </w:rPr>
              <w:t xml:space="preserve">. </w:t>
            </w:r>
          </w:p>
          <w:p w14:paraId="0E720C38" w14:textId="77777777" w:rsidR="00955407" w:rsidRDefault="00955407" w:rsidP="00692000">
            <w:pPr>
              <w:pStyle w:val="ListParagraph"/>
              <w:numPr>
                <w:ilvl w:val="0"/>
                <w:numId w:val="12"/>
              </w:numPr>
              <w:spacing w:after="0"/>
              <w:rPr>
                <w:szCs w:val="22"/>
              </w:rPr>
            </w:pPr>
            <w:r>
              <w:rPr>
                <w:szCs w:val="22"/>
              </w:rPr>
              <w:t xml:space="preserve">Ms. Sarpong discussed the disparity between consumers health literacy understanding, which is at the fifth grade reading level, and materials </w:t>
            </w:r>
            <w:r w:rsidR="00096068">
              <w:rPr>
                <w:szCs w:val="22"/>
              </w:rPr>
              <w:t>that</w:t>
            </w:r>
            <w:r>
              <w:rPr>
                <w:szCs w:val="22"/>
              </w:rPr>
              <w:t xml:space="preserve"> are</w:t>
            </w:r>
            <w:r w:rsidR="00301C1E">
              <w:rPr>
                <w:szCs w:val="22"/>
              </w:rPr>
              <w:t xml:space="preserve"> often</w:t>
            </w:r>
            <w:r>
              <w:rPr>
                <w:szCs w:val="22"/>
              </w:rPr>
              <w:t xml:space="preserve"> drafted in the medical community at the college reading level. </w:t>
            </w:r>
          </w:p>
          <w:p w14:paraId="0E720C39" w14:textId="77777777" w:rsidR="00B51976" w:rsidRDefault="00096068" w:rsidP="00692000">
            <w:pPr>
              <w:pStyle w:val="ListParagraph"/>
              <w:numPr>
                <w:ilvl w:val="0"/>
                <w:numId w:val="12"/>
              </w:numPr>
              <w:spacing w:after="0"/>
              <w:rPr>
                <w:szCs w:val="22"/>
              </w:rPr>
            </w:pPr>
            <w:r>
              <w:rPr>
                <w:szCs w:val="22"/>
              </w:rPr>
              <w:t>Ms. Sarpong raised th</w:t>
            </w:r>
            <w:r w:rsidR="00B51976">
              <w:rPr>
                <w:szCs w:val="22"/>
              </w:rPr>
              <w:t>at the languages spoken in the state are</w:t>
            </w:r>
            <w:r>
              <w:rPr>
                <w:szCs w:val="22"/>
              </w:rPr>
              <w:t xml:space="preserve"> often</w:t>
            </w:r>
            <w:r w:rsidR="00B51976">
              <w:rPr>
                <w:szCs w:val="22"/>
              </w:rPr>
              <w:t xml:space="preserve"> not reflected in the health care </w:t>
            </w:r>
            <w:r>
              <w:rPr>
                <w:szCs w:val="22"/>
              </w:rPr>
              <w:t>that</w:t>
            </w:r>
            <w:r w:rsidR="00B51976">
              <w:rPr>
                <w:szCs w:val="22"/>
              </w:rPr>
              <w:t xml:space="preserve"> is delivered in the state, </w:t>
            </w:r>
            <w:r w:rsidR="00054708">
              <w:rPr>
                <w:szCs w:val="22"/>
              </w:rPr>
              <w:t xml:space="preserve">specifically providing Sudanese as a prominent example. </w:t>
            </w:r>
          </w:p>
          <w:p w14:paraId="0E720C3A" w14:textId="77777777" w:rsidR="00B51976" w:rsidRDefault="00B51976" w:rsidP="00A42A38">
            <w:pPr>
              <w:pStyle w:val="ListParagraph"/>
              <w:numPr>
                <w:ilvl w:val="1"/>
                <w:numId w:val="12"/>
              </w:numPr>
              <w:spacing w:after="0"/>
              <w:rPr>
                <w:szCs w:val="22"/>
              </w:rPr>
            </w:pPr>
            <w:r>
              <w:rPr>
                <w:szCs w:val="22"/>
              </w:rPr>
              <w:t xml:space="preserve">The workgroup </w:t>
            </w:r>
            <w:r w:rsidR="00096068">
              <w:rPr>
                <w:szCs w:val="22"/>
              </w:rPr>
              <w:t>requested</w:t>
            </w:r>
            <w:r>
              <w:rPr>
                <w:szCs w:val="22"/>
              </w:rPr>
              <w:t xml:space="preserve"> </w:t>
            </w:r>
            <w:r w:rsidR="000D34F8">
              <w:rPr>
                <w:szCs w:val="22"/>
              </w:rPr>
              <w:t xml:space="preserve">more information on </w:t>
            </w:r>
            <w:r>
              <w:rPr>
                <w:szCs w:val="22"/>
              </w:rPr>
              <w:t>languages spoken in the state</w:t>
            </w:r>
            <w:r w:rsidR="000D34F8">
              <w:rPr>
                <w:szCs w:val="22"/>
              </w:rPr>
              <w:t>, or specific communities,</w:t>
            </w:r>
            <w:r>
              <w:rPr>
                <w:szCs w:val="22"/>
              </w:rPr>
              <w:t xml:space="preserve"> and an understanding of whether </w:t>
            </w:r>
            <w:r w:rsidR="00054708">
              <w:rPr>
                <w:szCs w:val="22"/>
              </w:rPr>
              <w:t>those languages</w:t>
            </w:r>
            <w:r>
              <w:rPr>
                <w:szCs w:val="22"/>
              </w:rPr>
              <w:t xml:space="preserve"> are reflected in the </w:t>
            </w:r>
            <w:r w:rsidR="000D34F8">
              <w:rPr>
                <w:szCs w:val="22"/>
              </w:rPr>
              <w:t>medical community</w:t>
            </w:r>
            <w:r w:rsidR="00054708">
              <w:rPr>
                <w:szCs w:val="22"/>
              </w:rPr>
              <w:t xml:space="preserve">. </w:t>
            </w:r>
          </w:p>
          <w:p w14:paraId="0E720C3B" w14:textId="77777777" w:rsidR="00A42A38" w:rsidRPr="00A42A38" w:rsidRDefault="00A42A38" w:rsidP="00096068">
            <w:pPr>
              <w:pStyle w:val="ListParagraph"/>
              <w:numPr>
                <w:ilvl w:val="0"/>
                <w:numId w:val="12"/>
              </w:numPr>
              <w:spacing w:after="0"/>
              <w:rPr>
                <w:szCs w:val="22"/>
              </w:rPr>
            </w:pPr>
            <w:r>
              <w:rPr>
                <w:szCs w:val="22"/>
              </w:rPr>
              <w:t xml:space="preserve">Mr. Schoenbaum’s presentation was tabled for discussion </w:t>
            </w:r>
            <w:r w:rsidR="00096068">
              <w:rPr>
                <w:szCs w:val="22"/>
              </w:rPr>
              <w:t>due to time constraints. He will present at an upcoming meeting</w:t>
            </w:r>
            <w:r>
              <w:rPr>
                <w:szCs w:val="22"/>
              </w:rPr>
              <w:t xml:space="preserve">. </w:t>
            </w:r>
          </w:p>
        </w:tc>
      </w:tr>
      <w:tr w:rsidR="00DE314B" w14:paraId="0E720C40" w14:textId="77777777" w:rsidTr="00C44D92">
        <w:tc>
          <w:tcPr>
            <w:tcW w:w="3235" w:type="dxa"/>
          </w:tcPr>
          <w:p w14:paraId="0E720C3D" w14:textId="77777777" w:rsidR="00DE314B" w:rsidRDefault="00DE314B" w:rsidP="001B15A4">
            <w:pPr>
              <w:rPr>
                <w:b/>
                <w:szCs w:val="22"/>
              </w:rPr>
            </w:pPr>
            <w:r>
              <w:rPr>
                <w:b/>
                <w:szCs w:val="22"/>
              </w:rPr>
              <w:lastRenderedPageBreak/>
              <w:t>Public Comment and Next Steps</w:t>
            </w:r>
          </w:p>
        </w:tc>
        <w:tc>
          <w:tcPr>
            <w:tcW w:w="1710" w:type="dxa"/>
          </w:tcPr>
          <w:p w14:paraId="0E720C3E" w14:textId="77777777" w:rsidR="00DE314B" w:rsidRDefault="00DE314B" w:rsidP="00DE314B"/>
        </w:tc>
        <w:tc>
          <w:tcPr>
            <w:tcW w:w="5845" w:type="dxa"/>
          </w:tcPr>
          <w:p w14:paraId="0E720C3F" w14:textId="77777777" w:rsidR="00DE314B" w:rsidRDefault="00CF2B25" w:rsidP="00692000">
            <w:pPr>
              <w:pStyle w:val="ListParagraph"/>
              <w:numPr>
                <w:ilvl w:val="0"/>
                <w:numId w:val="12"/>
              </w:numPr>
              <w:spacing w:after="0"/>
              <w:rPr>
                <w:szCs w:val="22"/>
              </w:rPr>
            </w:pPr>
            <w:r>
              <w:rPr>
                <w:szCs w:val="22"/>
              </w:rPr>
              <w:t>None</w:t>
            </w:r>
          </w:p>
        </w:tc>
      </w:tr>
    </w:tbl>
    <w:p w14:paraId="0E720C41" w14:textId="77777777" w:rsidR="00C55E1D" w:rsidRDefault="00C55E1D" w:rsidP="001C0E0A">
      <w:pPr>
        <w:spacing w:before="480" w:line="200" w:lineRule="exact"/>
      </w:pPr>
    </w:p>
    <w:p w14:paraId="0E720C42" w14:textId="77777777" w:rsidR="002169AB" w:rsidRPr="00383739" w:rsidRDefault="002169AB" w:rsidP="001C0E0A">
      <w:pPr>
        <w:spacing w:before="480" w:line="200" w:lineRule="exact"/>
      </w:pPr>
    </w:p>
    <w:sectPr w:rsidR="002169AB" w:rsidRPr="00383739" w:rsidSect="006406F9">
      <w:headerReference w:type="default" r:id="rId11"/>
      <w:footerReference w:type="default" r:id="rId12"/>
      <w:headerReference w:type="first" r:id="rId13"/>
      <w:footerReference w:type="first" r:id="rId14"/>
      <w:pgSz w:w="12240" w:h="15840" w:code="1"/>
      <w:pgMar w:top="720" w:right="720" w:bottom="720" w:left="720" w:header="576"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4A4C3" w14:textId="77777777" w:rsidR="001753F4" w:rsidRDefault="001753F4" w:rsidP="003C1BA8">
      <w:r>
        <w:separator/>
      </w:r>
    </w:p>
  </w:endnote>
  <w:endnote w:type="continuationSeparator" w:id="0">
    <w:p w14:paraId="7DE02457" w14:textId="77777777" w:rsidR="001753F4" w:rsidRDefault="001753F4" w:rsidP="003C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591269"/>
      <w:docPartObj>
        <w:docPartGallery w:val="Page Numbers (Bottom of Page)"/>
        <w:docPartUnique/>
      </w:docPartObj>
    </w:sdtPr>
    <w:sdtEndPr>
      <w:rPr>
        <w:color w:val="7F7F7F" w:themeColor="background1" w:themeShade="7F"/>
        <w:spacing w:val="60"/>
        <w:sz w:val="20"/>
        <w:szCs w:val="20"/>
      </w:rPr>
    </w:sdtEndPr>
    <w:sdtContent>
      <w:p w14:paraId="0E720C48" w14:textId="77777777" w:rsidR="00833D3E" w:rsidRPr="00833D3E" w:rsidRDefault="00833D3E" w:rsidP="00833D3E">
        <w:pPr>
          <w:pStyle w:val="Footer"/>
          <w:pBdr>
            <w:top w:val="single" w:sz="4" w:space="1" w:color="D9D9D9" w:themeColor="background1" w:themeShade="D9"/>
          </w:pBdr>
          <w:jc w:val="right"/>
          <w:rPr>
            <w:b/>
            <w:bCs/>
            <w:sz w:val="20"/>
            <w:szCs w:val="20"/>
          </w:rPr>
        </w:pPr>
        <w:r w:rsidRPr="00833D3E">
          <w:rPr>
            <w:sz w:val="20"/>
            <w:szCs w:val="20"/>
          </w:rPr>
          <w:fldChar w:fldCharType="begin"/>
        </w:r>
        <w:r w:rsidRPr="00833D3E">
          <w:rPr>
            <w:sz w:val="20"/>
            <w:szCs w:val="20"/>
          </w:rPr>
          <w:instrText xml:space="preserve"> PAGE   \* MERGEFORMAT </w:instrText>
        </w:r>
        <w:r w:rsidRPr="00833D3E">
          <w:rPr>
            <w:sz w:val="20"/>
            <w:szCs w:val="20"/>
          </w:rPr>
          <w:fldChar w:fldCharType="separate"/>
        </w:r>
        <w:r w:rsidR="005D00E1" w:rsidRPr="005D00E1">
          <w:rPr>
            <w:b/>
            <w:bCs/>
            <w:noProof/>
            <w:sz w:val="20"/>
            <w:szCs w:val="20"/>
          </w:rPr>
          <w:t>6</w:t>
        </w:r>
        <w:r w:rsidRPr="00833D3E">
          <w:rPr>
            <w:b/>
            <w:bCs/>
            <w:noProof/>
            <w:sz w:val="20"/>
            <w:szCs w:val="20"/>
          </w:rPr>
          <w:fldChar w:fldCharType="end"/>
        </w:r>
        <w:r w:rsidRPr="00833D3E">
          <w:rPr>
            <w:b/>
            <w:bCs/>
            <w:sz w:val="20"/>
            <w:szCs w:val="20"/>
          </w:rPr>
          <w:t xml:space="preserve"> | </w:t>
        </w:r>
        <w:r w:rsidRPr="00833D3E">
          <w:rPr>
            <w:color w:val="7F7F7F" w:themeColor="background1" w:themeShade="7F"/>
            <w:spacing w:val="60"/>
            <w:sz w:val="20"/>
            <w:szCs w:val="20"/>
          </w:rPr>
          <w:t>Page</w:t>
        </w:r>
      </w:p>
    </w:sdtContent>
  </w:sdt>
  <w:p w14:paraId="0E720C49" w14:textId="77777777" w:rsidR="00206C5B" w:rsidRDefault="00206C5B" w:rsidP="002603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20C4B" w14:textId="77777777" w:rsidR="00261C88" w:rsidRDefault="00261C88" w:rsidP="00032826">
    <w:pPr>
      <w:pStyle w:val="Footer"/>
      <w:tabs>
        <w:tab w:val="clear" w:pos="9360"/>
        <w:tab w:val="left" w:pos="8280"/>
        <w:tab w:val="right" w:pos="10800"/>
      </w:tabs>
    </w:pPr>
    <w:r>
      <w:tab/>
    </w:r>
    <w:r w:rsidR="007A7AC2">
      <w:rPr>
        <w:noProof/>
      </w:rPr>
      <mc:AlternateContent>
        <mc:Choice Requires="wpg">
          <w:drawing>
            <wp:inline distT="0" distB="0" distL="0" distR="0" wp14:anchorId="0E720C4E" wp14:editId="0E720C4F">
              <wp:extent cx="6899910" cy="870851"/>
              <wp:effectExtent l="0" t="0" r="34290" b="5715"/>
              <wp:docPr id="1" name="Group 1" descr="Health Care Financing Task Force contact information" title="Task Force"/>
              <wp:cNvGraphicFramePr/>
              <a:graphic xmlns:a="http://schemas.openxmlformats.org/drawingml/2006/main">
                <a:graphicData uri="http://schemas.microsoft.com/office/word/2010/wordprocessingGroup">
                  <wpg:wgp>
                    <wpg:cNvGrpSpPr/>
                    <wpg:grpSpPr>
                      <a:xfrm>
                        <a:off x="0" y="0"/>
                        <a:ext cx="6899910" cy="870851"/>
                        <a:chOff x="0" y="0"/>
                        <a:chExt cx="6899910" cy="870851"/>
                      </a:xfrm>
                    </wpg:grpSpPr>
                    <wps:wsp>
                      <wps:cNvPr id="215" name="Straight Connector 215"/>
                      <wps:cNvCnPr/>
                      <wps:spPr>
                        <a:xfrm>
                          <a:off x="0" y="0"/>
                          <a:ext cx="68999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1265" y="148766"/>
                          <a:ext cx="3493769" cy="612774"/>
                        </a:xfrm>
                        <a:prstGeom prst="rect">
                          <a:avLst/>
                        </a:prstGeom>
                        <a:solidFill>
                          <a:srgbClr val="FFFFFF"/>
                        </a:solidFill>
                        <a:ln w="9525">
                          <a:noFill/>
                          <a:miter lim="800000"/>
                          <a:headEnd/>
                          <a:tailEnd/>
                        </a:ln>
                      </wps:spPr>
                      <wps:txbx>
                        <w:txbxContent>
                          <w:p w14:paraId="0E720C50"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0E720C51" w14:textId="77777777" w:rsidR="007A7AC2" w:rsidRDefault="007A7AC2" w:rsidP="007A7AC2">
                            <w:pPr>
                              <w:spacing w:after="0"/>
                            </w:pPr>
                            <w:r>
                              <w:t xml:space="preserve">Contact: </w:t>
                            </w:r>
                            <w:r>
                              <w:rPr>
                                <w:rFonts w:eastAsiaTheme="minorHAnsi" w:cstheme="minorBidi"/>
                                <w:szCs w:val="22"/>
                              </w:rPr>
                              <w:t>dhs.hcfinancingtaskforce@state.mn.us</w:t>
                            </w:r>
                          </w:p>
                        </w:txbxContent>
                      </wps:txbx>
                      <wps:bodyPr rot="0" vert="horz" wrap="square" lIns="91440" tIns="45720" rIns="91440" bIns="45720" anchor="t" anchorCtr="0">
                        <a:spAutoFit/>
                      </wps:bodyPr>
                    </wps:wsp>
                    <pic:pic xmlns:pic="http://schemas.openxmlformats.org/drawingml/2006/picture">
                      <pic:nvPicPr>
                        <pic:cNvPr id="212" name="Picture 212" descr="Q:\New\Images\Partner Logos\DHS\DHS Logo with text, 3 inch.png" title="DHS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5295014" y="148856"/>
                          <a:ext cx="1544955" cy="721995"/>
                        </a:xfrm>
                        <a:prstGeom prst="rect">
                          <a:avLst/>
                        </a:prstGeom>
                        <a:noFill/>
                        <a:extLst/>
                      </pic:spPr>
                    </pic:pic>
                  </wpg:wgp>
                </a:graphicData>
              </a:graphic>
            </wp:inline>
          </w:drawing>
        </mc:Choice>
        <mc:Fallback>
          <w:pict>
            <v:group w14:anchorId="0E720C4E" id="Group 1" o:spid="_x0000_s1026" alt="Title: Task Force - Description: Health Care Financing Task Force contact information" style="width:543.3pt;height:68.55pt;mso-position-horizontal-relative:char;mso-position-vertical-relative:line" coordsize="68999,8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">
              <v:line id="Straight Connector 215" o:spid="_x0000_s1027" style="position:absolute;visibility:visible;mso-wrap-style:square" from="0,0" to="689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VfsUAAADcAAAADwAAAGRycy9kb3ducmV2LnhtbESP0WrCQBRE3wv9h+UWfBGzScDWplml&#10;FKuCRTDtB1yy1ySYvRuyW5P+fVcQfBxm5gyTr0bTigv1rrGsIIliEMSl1Q1XCn6+P2cLEM4ja2wt&#10;k4I/crBaPj7kmGk78JEuha9EgLDLUEHtfZdJ6cqaDLrIdsTBO9neoA+yr6TucQhw08o0jp+lwYbD&#10;Qo0dfdRUnotfo6D7Gl72h/102JbFeqPbqTfEr0pNnsb3NxCeRn8P39o7rSBN5nA9E4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VfsUAAADcAAAADwAAAAAAAAAA&#10;AAAAAAChAgAAZHJzL2Rvd25yZXYueG1sUEsFBgAAAAAEAAQA+QAAAJMDAAAAAA==&#10;" strokecolor="#bfbfbf [2412]"/>
              <v:shapetype id="_x0000_t202" coordsize="21600,21600" o:spt="202" path="m,l,21600r21600,l21600,xe">
                <v:stroke joinstyle="miter"/>
                <v:path gradientshapeok="t" o:connecttype="rect"/>
              </v:shapetype>
              <v:shape id="Text Box 2" o:spid="_x0000_s1028" type="#_x0000_t202" style="position:absolute;left:212;top:1487;width:34938;height:6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0E720C50"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0E720C51" w14:textId="77777777" w:rsidR="007A7AC2" w:rsidRDefault="007A7AC2" w:rsidP="007A7AC2">
                      <w:pPr>
                        <w:spacing w:after="0"/>
                      </w:pPr>
                      <w:r>
                        <w:t xml:space="preserve">Contact: </w:t>
                      </w:r>
                      <w:r>
                        <w:rPr>
                          <w:rFonts w:eastAsiaTheme="minorHAnsi" w:cstheme="minorBidi"/>
                          <w:szCs w:val="22"/>
                        </w:rPr>
                        <w:t>dhs.hcfinancingtaskforce@state.mn.us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29" type="#_x0000_t75" style="position:absolute;left:52950;top:1488;width:15449;height:7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JESrGAAAA3AAAAA8AAABkcnMvZG93bnJldi54bWxEj0FrAjEUhO+F/ofwCr3VrHsQuxpFLaUi&#10;peBaPT83z93g5mWbpLr9901B6HGYmW+Y6by3rbiQD8axguEgA0FcOW24VvC5e30agwgRWWPrmBT8&#10;UID57P5uioV2V97SpYy1SBAOBSpoYuwKKUPVkMUwcB1x8k7OW4xJ+lpqj9cEt63Ms2wkLRpOCw12&#10;tGqoOpffVsH+7WV3HD2/+8Palx8rs/1yZrlR6vGhX0xAROrjf/jWXmsF+TCHvzPpCMj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4kRKsYAAADcAAAADwAAAAAAAAAAAAAA&#10;AACfAgAAZHJzL2Rvd25yZXYueG1sUEsFBgAAAAAEAAQA9wAAAJIDAAAAAA==&#10;">
                <v:imagedata r:id="rId2" o:title="DHS Logo with text, 3 inch"/>
                <v:path arrowok="t"/>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41652" w14:textId="77777777" w:rsidR="001753F4" w:rsidRDefault="001753F4" w:rsidP="003C1BA8">
      <w:r>
        <w:separator/>
      </w:r>
    </w:p>
  </w:footnote>
  <w:footnote w:type="continuationSeparator" w:id="0">
    <w:p w14:paraId="72FBAA98" w14:textId="77777777" w:rsidR="001753F4" w:rsidRDefault="001753F4" w:rsidP="003C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20C47" w14:textId="77777777" w:rsidR="00833D3E" w:rsidRDefault="00833D3E" w:rsidP="00833D3E">
    <w:pPr>
      <w:pStyle w:val="Title"/>
    </w:pPr>
    <w:r w:rsidRPr="00833D3E">
      <w:rPr>
        <w:b/>
        <w:sz w:val="20"/>
        <w:szCs w:val="20"/>
      </w:rPr>
      <w:t>2015 Health Care Financing Task Force Members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20C4A" w14:textId="77777777" w:rsidR="00295581" w:rsidRDefault="006406F9" w:rsidP="006406F9">
    <w:pPr>
      <w:pStyle w:val="Header"/>
      <w:tabs>
        <w:tab w:val="clear" w:pos="9360"/>
        <w:tab w:val="left" w:pos="5828"/>
      </w:tabs>
    </w:pPr>
    <w:r>
      <w:rPr>
        <w:noProof/>
      </w:rPr>
      <w:drawing>
        <wp:inline distT="0" distB="0" distL="0" distR="0" wp14:anchorId="0E720C4C" wp14:editId="0E720C4D">
          <wp:extent cx="3381375" cy="771525"/>
          <wp:effectExtent l="0" t="0" r="9525" b="9525"/>
          <wp:docPr id="2" name="Picture 2" descr="Minnesota Health Care Financing Task For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ftf-logo.jpg"/>
                  <pic:cNvPicPr/>
                </pic:nvPicPr>
                <pic:blipFill>
                  <a:blip r:embed="rId1">
                    <a:extLst>
                      <a:ext uri="{28A0092B-C50C-407E-A947-70E740481C1C}">
                        <a14:useLocalDpi xmlns:a14="http://schemas.microsoft.com/office/drawing/2010/main" val="0"/>
                      </a:ext>
                    </a:extLst>
                  </a:blip>
                  <a:stretch>
                    <a:fillRect/>
                  </a:stretch>
                </pic:blipFill>
                <pic:spPr>
                  <a:xfrm>
                    <a:off x="0" y="0"/>
                    <a:ext cx="3381375" cy="77152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FDB"/>
    <w:multiLevelType w:val="hybridMultilevel"/>
    <w:tmpl w:val="CE78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E3309"/>
    <w:multiLevelType w:val="hybridMultilevel"/>
    <w:tmpl w:val="526E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40386"/>
    <w:multiLevelType w:val="hybridMultilevel"/>
    <w:tmpl w:val="CB82F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62AF8"/>
    <w:multiLevelType w:val="hybridMultilevel"/>
    <w:tmpl w:val="B29CBD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070410"/>
    <w:multiLevelType w:val="hybridMultilevel"/>
    <w:tmpl w:val="0D302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034F77"/>
    <w:multiLevelType w:val="hybridMultilevel"/>
    <w:tmpl w:val="8B0CAE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A7F3CBA"/>
    <w:multiLevelType w:val="hybridMultilevel"/>
    <w:tmpl w:val="B1B2A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B33978"/>
    <w:multiLevelType w:val="hybridMultilevel"/>
    <w:tmpl w:val="FCF4C5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32440651"/>
    <w:multiLevelType w:val="multilevel"/>
    <w:tmpl w:val="8C1EBDA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3387AF9"/>
    <w:multiLevelType w:val="hybridMultilevel"/>
    <w:tmpl w:val="CC706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30081"/>
    <w:multiLevelType w:val="hybridMultilevel"/>
    <w:tmpl w:val="F4109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325E6"/>
    <w:multiLevelType w:val="hybridMultilevel"/>
    <w:tmpl w:val="416A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5060D"/>
    <w:multiLevelType w:val="hybridMultilevel"/>
    <w:tmpl w:val="A830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72593"/>
    <w:multiLevelType w:val="hybridMultilevel"/>
    <w:tmpl w:val="894C9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04203"/>
    <w:multiLevelType w:val="hybridMultilevel"/>
    <w:tmpl w:val="828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7265A"/>
    <w:multiLevelType w:val="hybridMultilevel"/>
    <w:tmpl w:val="E4DE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D637A"/>
    <w:multiLevelType w:val="hybridMultilevel"/>
    <w:tmpl w:val="3CE6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F3CB4"/>
    <w:multiLevelType w:val="hybridMultilevel"/>
    <w:tmpl w:val="02249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0669A7"/>
    <w:multiLevelType w:val="hybridMultilevel"/>
    <w:tmpl w:val="16144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65FF8"/>
    <w:multiLevelType w:val="hybridMultilevel"/>
    <w:tmpl w:val="E9EA5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83BAB"/>
    <w:multiLevelType w:val="hybridMultilevel"/>
    <w:tmpl w:val="9536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4547B"/>
    <w:multiLevelType w:val="hybridMultilevel"/>
    <w:tmpl w:val="681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77459"/>
    <w:multiLevelType w:val="hybridMultilevel"/>
    <w:tmpl w:val="8790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71E7E"/>
    <w:multiLevelType w:val="hybridMultilevel"/>
    <w:tmpl w:val="F594AF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005736"/>
    <w:multiLevelType w:val="hybridMultilevel"/>
    <w:tmpl w:val="F2C88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5455BE"/>
    <w:multiLevelType w:val="hybridMultilevel"/>
    <w:tmpl w:val="640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574B2"/>
    <w:multiLevelType w:val="hybridMultilevel"/>
    <w:tmpl w:val="42CCF4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7C6A4077"/>
    <w:multiLevelType w:val="hybridMultilevel"/>
    <w:tmpl w:val="C51EB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4"/>
  </w:num>
  <w:num w:numId="3">
    <w:abstractNumId w:val="17"/>
  </w:num>
  <w:num w:numId="4">
    <w:abstractNumId w:val="7"/>
  </w:num>
  <w:num w:numId="5">
    <w:abstractNumId w:val="26"/>
  </w:num>
  <w:num w:numId="6">
    <w:abstractNumId w:val="5"/>
  </w:num>
  <w:num w:numId="7">
    <w:abstractNumId w:val="0"/>
  </w:num>
  <w:num w:numId="8">
    <w:abstractNumId w:val="21"/>
  </w:num>
  <w:num w:numId="9">
    <w:abstractNumId w:val="16"/>
  </w:num>
  <w:num w:numId="10">
    <w:abstractNumId w:val="25"/>
  </w:num>
  <w:num w:numId="11">
    <w:abstractNumId w:val="14"/>
  </w:num>
  <w:num w:numId="12">
    <w:abstractNumId w:val="3"/>
  </w:num>
  <w:num w:numId="13">
    <w:abstractNumId w:val="9"/>
  </w:num>
  <w:num w:numId="14">
    <w:abstractNumId w:val="10"/>
  </w:num>
  <w:num w:numId="15">
    <w:abstractNumId w:val="2"/>
  </w:num>
  <w:num w:numId="16">
    <w:abstractNumId w:val="18"/>
  </w:num>
  <w:num w:numId="17">
    <w:abstractNumId w:val="13"/>
  </w:num>
  <w:num w:numId="18">
    <w:abstractNumId w:val="1"/>
  </w:num>
  <w:num w:numId="19">
    <w:abstractNumId w:val="27"/>
  </w:num>
  <w:num w:numId="20">
    <w:abstractNumId w:val="11"/>
  </w:num>
  <w:num w:numId="21">
    <w:abstractNumId w:val="12"/>
  </w:num>
  <w:num w:numId="22">
    <w:abstractNumId w:val="23"/>
  </w:num>
  <w:num w:numId="23">
    <w:abstractNumId w:val="20"/>
  </w:num>
  <w:num w:numId="24">
    <w:abstractNumId w:val="8"/>
  </w:num>
  <w:num w:numId="25">
    <w:abstractNumId w:val="24"/>
  </w:num>
  <w:num w:numId="26">
    <w:abstractNumId w:val="22"/>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MPDocID" w:val="203274514.2"/>
    <w:docVar w:name="MPDocIDTemplateDefault" w:val="%n|.%v"/>
    <w:docVar w:name="NewDocStampType" w:val="7"/>
  </w:docVars>
  <w:rsids>
    <w:rsidRoot w:val="004939AD"/>
    <w:rsid w:val="00004F3D"/>
    <w:rsid w:val="00012924"/>
    <w:rsid w:val="000155CC"/>
    <w:rsid w:val="000156BE"/>
    <w:rsid w:val="00016335"/>
    <w:rsid w:val="0002001B"/>
    <w:rsid w:val="00032826"/>
    <w:rsid w:val="00034270"/>
    <w:rsid w:val="000408FA"/>
    <w:rsid w:val="00052167"/>
    <w:rsid w:val="00053021"/>
    <w:rsid w:val="00054708"/>
    <w:rsid w:val="00056FAA"/>
    <w:rsid w:val="00057E12"/>
    <w:rsid w:val="0006799E"/>
    <w:rsid w:val="00096068"/>
    <w:rsid w:val="000A0D4D"/>
    <w:rsid w:val="000B0942"/>
    <w:rsid w:val="000B374F"/>
    <w:rsid w:val="000D34F8"/>
    <w:rsid w:val="000F690C"/>
    <w:rsid w:val="001053D2"/>
    <w:rsid w:val="001111D4"/>
    <w:rsid w:val="001115D0"/>
    <w:rsid w:val="00113696"/>
    <w:rsid w:val="00117B4F"/>
    <w:rsid w:val="001323AF"/>
    <w:rsid w:val="00155822"/>
    <w:rsid w:val="00164C07"/>
    <w:rsid w:val="00167440"/>
    <w:rsid w:val="001753F4"/>
    <w:rsid w:val="0018535F"/>
    <w:rsid w:val="001A033C"/>
    <w:rsid w:val="001A2ADC"/>
    <w:rsid w:val="001A7EEC"/>
    <w:rsid w:val="001B15A4"/>
    <w:rsid w:val="001B1BB2"/>
    <w:rsid w:val="001B3332"/>
    <w:rsid w:val="001C0E0A"/>
    <w:rsid w:val="001C4887"/>
    <w:rsid w:val="001F330A"/>
    <w:rsid w:val="001F730D"/>
    <w:rsid w:val="00206C5B"/>
    <w:rsid w:val="002169AB"/>
    <w:rsid w:val="00222014"/>
    <w:rsid w:val="0023423E"/>
    <w:rsid w:val="00234BE3"/>
    <w:rsid w:val="00256C01"/>
    <w:rsid w:val="002603D7"/>
    <w:rsid w:val="00261C88"/>
    <w:rsid w:val="002625B3"/>
    <w:rsid w:val="00265544"/>
    <w:rsid w:val="00277DF7"/>
    <w:rsid w:val="00282687"/>
    <w:rsid w:val="00293CED"/>
    <w:rsid w:val="00295581"/>
    <w:rsid w:val="002A27F5"/>
    <w:rsid w:val="002B68CD"/>
    <w:rsid w:val="002D4281"/>
    <w:rsid w:val="002D4925"/>
    <w:rsid w:val="002D4C6A"/>
    <w:rsid w:val="002F2235"/>
    <w:rsid w:val="00301C1E"/>
    <w:rsid w:val="00304D1E"/>
    <w:rsid w:val="00314455"/>
    <w:rsid w:val="00325073"/>
    <w:rsid w:val="00326333"/>
    <w:rsid w:val="00332AD7"/>
    <w:rsid w:val="00335613"/>
    <w:rsid w:val="003375F9"/>
    <w:rsid w:val="00341D66"/>
    <w:rsid w:val="0034405D"/>
    <w:rsid w:val="0034528C"/>
    <w:rsid w:val="00345C6B"/>
    <w:rsid w:val="003513BA"/>
    <w:rsid w:val="00357DFC"/>
    <w:rsid w:val="00360125"/>
    <w:rsid w:val="00364DDF"/>
    <w:rsid w:val="003740F5"/>
    <w:rsid w:val="00376BC7"/>
    <w:rsid w:val="00377E55"/>
    <w:rsid w:val="00383739"/>
    <w:rsid w:val="003851EA"/>
    <w:rsid w:val="00393567"/>
    <w:rsid w:val="003B5237"/>
    <w:rsid w:val="003B6406"/>
    <w:rsid w:val="003B65D7"/>
    <w:rsid w:val="003C1545"/>
    <w:rsid w:val="003C1BA8"/>
    <w:rsid w:val="003C7312"/>
    <w:rsid w:val="003D4D74"/>
    <w:rsid w:val="003D5334"/>
    <w:rsid w:val="003E0E60"/>
    <w:rsid w:val="003E6EA8"/>
    <w:rsid w:val="003F56DA"/>
    <w:rsid w:val="00404E22"/>
    <w:rsid w:val="00405723"/>
    <w:rsid w:val="004210E5"/>
    <w:rsid w:val="0042287E"/>
    <w:rsid w:val="00445928"/>
    <w:rsid w:val="00450668"/>
    <w:rsid w:val="0046778D"/>
    <w:rsid w:val="00487ED4"/>
    <w:rsid w:val="004939AD"/>
    <w:rsid w:val="004D1AF2"/>
    <w:rsid w:val="004D7730"/>
    <w:rsid w:val="004E2354"/>
    <w:rsid w:val="00536750"/>
    <w:rsid w:val="00542B7C"/>
    <w:rsid w:val="00551A5E"/>
    <w:rsid w:val="00551E96"/>
    <w:rsid w:val="00557369"/>
    <w:rsid w:val="00557A3B"/>
    <w:rsid w:val="00574780"/>
    <w:rsid w:val="0058322B"/>
    <w:rsid w:val="005862F9"/>
    <w:rsid w:val="00587469"/>
    <w:rsid w:val="005B06EE"/>
    <w:rsid w:val="005B3B37"/>
    <w:rsid w:val="005B7CD7"/>
    <w:rsid w:val="005C0C65"/>
    <w:rsid w:val="005C6630"/>
    <w:rsid w:val="005D00E1"/>
    <w:rsid w:val="005E050F"/>
    <w:rsid w:val="005E3DE6"/>
    <w:rsid w:val="005F7F1D"/>
    <w:rsid w:val="006216BA"/>
    <w:rsid w:val="006247B8"/>
    <w:rsid w:val="00636BF3"/>
    <w:rsid w:val="006406F9"/>
    <w:rsid w:val="00692000"/>
    <w:rsid w:val="006A6AD4"/>
    <w:rsid w:val="006B560C"/>
    <w:rsid w:val="006B5B9F"/>
    <w:rsid w:val="006C712C"/>
    <w:rsid w:val="006D3AAC"/>
    <w:rsid w:val="006D68DA"/>
    <w:rsid w:val="006F4045"/>
    <w:rsid w:val="006F452E"/>
    <w:rsid w:val="006F4C69"/>
    <w:rsid w:val="00703A64"/>
    <w:rsid w:val="00706FA2"/>
    <w:rsid w:val="00722009"/>
    <w:rsid w:val="0074353E"/>
    <w:rsid w:val="00762220"/>
    <w:rsid w:val="00763EA4"/>
    <w:rsid w:val="00771927"/>
    <w:rsid w:val="00771D49"/>
    <w:rsid w:val="0078111F"/>
    <w:rsid w:val="007A3C8B"/>
    <w:rsid w:val="007A7AC2"/>
    <w:rsid w:val="007B2C83"/>
    <w:rsid w:val="007B65CA"/>
    <w:rsid w:val="007B6BB5"/>
    <w:rsid w:val="007C3279"/>
    <w:rsid w:val="007C56B1"/>
    <w:rsid w:val="007C6E4D"/>
    <w:rsid w:val="007D6D45"/>
    <w:rsid w:val="007E2213"/>
    <w:rsid w:val="007E5F17"/>
    <w:rsid w:val="007E7A07"/>
    <w:rsid w:val="008110BA"/>
    <w:rsid w:val="0083313D"/>
    <w:rsid w:val="00833D3E"/>
    <w:rsid w:val="0084407A"/>
    <w:rsid w:val="00853158"/>
    <w:rsid w:val="00860195"/>
    <w:rsid w:val="008768E8"/>
    <w:rsid w:val="00876D0A"/>
    <w:rsid w:val="008859D0"/>
    <w:rsid w:val="008A1053"/>
    <w:rsid w:val="008A2ED0"/>
    <w:rsid w:val="008A541A"/>
    <w:rsid w:val="008B0BFC"/>
    <w:rsid w:val="008C5C7D"/>
    <w:rsid w:val="008D1CC2"/>
    <w:rsid w:val="008D7E81"/>
    <w:rsid w:val="008E6733"/>
    <w:rsid w:val="008F13C3"/>
    <w:rsid w:val="008F663D"/>
    <w:rsid w:val="008F70EB"/>
    <w:rsid w:val="009015E3"/>
    <w:rsid w:val="0090211C"/>
    <w:rsid w:val="0090351D"/>
    <w:rsid w:val="0090518D"/>
    <w:rsid w:val="00906E92"/>
    <w:rsid w:val="00936B3A"/>
    <w:rsid w:val="009437B9"/>
    <w:rsid w:val="00947C0F"/>
    <w:rsid w:val="00955407"/>
    <w:rsid w:val="0097599A"/>
    <w:rsid w:val="00997191"/>
    <w:rsid w:val="009A04CD"/>
    <w:rsid w:val="009B406D"/>
    <w:rsid w:val="009B50AD"/>
    <w:rsid w:val="009C1553"/>
    <w:rsid w:val="009D0330"/>
    <w:rsid w:val="009D7CA8"/>
    <w:rsid w:val="009E5D88"/>
    <w:rsid w:val="009F5CCB"/>
    <w:rsid w:val="00A01416"/>
    <w:rsid w:val="00A017E9"/>
    <w:rsid w:val="00A07067"/>
    <w:rsid w:val="00A076FC"/>
    <w:rsid w:val="00A1336C"/>
    <w:rsid w:val="00A21094"/>
    <w:rsid w:val="00A31069"/>
    <w:rsid w:val="00A376A7"/>
    <w:rsid w:val="00A42A38"/>
    <w:rsid w:val="00A47F87"/>
    <w:rsid w:val="00A62AE0"/>
    <w:rsid w:val="00A634C2"/>
    <w:rsid w:val="00A6759A"/>
    <w:rsid w:val="00AB317C"/>
    <w:rsid w:val="00AB7371"/>
    <w:rsid w:val="00AC4A85"/>
    <w:rsid w:val="00AD225E"/>
    <w:rsid w:val="00AD5325"/>
    <w:rsid w:val="00AE15E4"/>
    <w:rsid w:val="00B0757B"/>
    <w:rsid w:val="00B1057B"/>
    <w:rsid w:val="00B12B40"/>
    <w:rsid w:val="00B44004"/>
    <w:rsid w:val="00B51976"/>
    <w:rsid w:val="00B80250"/>
    <w:rsid w:val="00BA00B4"/>
    <w:rsid w:val="00BA26D9"/>
    <w:rsid w:val="00BD70AC"/>
    <w:rsid w:val="00BE3D57"/>
    <w:rsid w:val="00BE7455"/>
    <w:rsid w:val="00BF70E6"/>
    <w:rsid w:val="00BF7D50"/>
    <w:rsid w:val="00C01D07"/>
    <w:rsid w:val="00C10E48"/>
    <w:rsid w:val="00C11396"/>
    <w:rsid w:val="00C20609"/>
    <w:rsid w:val="00C358AA"/>
    <w:rsid w:val="00C36C99"/>
    <w:rsid w:val="00C4064E"/>
    <w:rsid w:val="00C4083C"/>
    <w:rsid w:val="00C43AD3"/>
    <w:rsid w:val="00C44D92"/>
    <w:rsid w:val="00C55E1D"/>
    <w:rsid w:val="00C578AD"/>
    <w:rsid w:val="00C65B65"/>
    <w:rsid w:val="00C71FDC"/>
    <w:rsid w:val="00C95692"/>
    <w:rsid w:val="00C957A5"/>
    <w:rsid w:val="00C959C6"/>
    <w:rsid w:val="00CB2FAB"/>
    <w:rsid w:val="00CD1F9E"/>
    <w:rsid w:val="00CF2B25"/>
    <w:rsid w:val="00D01736"/>
    <w:rsid w:val="00D07AF5"/>
    <w:rsid w:val="00D122E4"/>
    <w:rsid w:val="00D1547E"/>
    <w:rsid w:val="00D1688F"/>
    <w:rsid w:val="00D3777E"/>
    <w:rsid w:val="00D50BC9"/>
    <w:rsid w:val="00D57876"/>
    <w:rsid w:val="00D61CCF"/>
    <w:rsid w:val="00D73462"/>
    <w:rsid w:val="00D805F2"/>
    <w:rsid w:val="00D86B4A"/>
    <w:rsid w:val="00D91068"/>
    <w:rsid w:val="00D932F1"/>
    <w:rsid w:val="00D949A3"/>
    <w:rsid w:val="00DA3878"/>
    <w:rsid w:val="00DA4096"/>
    <w:rsid w:val="00DA7486"/>
    <w:rsid w:val="00DB5915"/>
    <w:rsid w:val="00DB6F12"/>
    <w:rsid w:val="00DD67F0"/>
    <w:rsid w:val="00DE314B"/>
    <w:rsid w:val="00DE5969"/>
    <w:rsid w:val="00E012E1"/>
    <w:rsid w:val="00E165A3"/>
    <w:rsid w:val="00E23A93"/>
    <w:rsid w:val="00E26E21"/>
    <w:rsid w:val="00E30F11"/>
    <w:rsid w:val="00E33EEF"/>
    <w:rsid w:val="00E470B7"/>
    <w:rsid w:val="00E4727B"/>
    <w:rsid w:val="00E71A49"/>
    <w:rsid w:val="00E735E2"/>
    <w:rsid w:val="00E90A6C"/>
    <w:rsid w:val="00EA33C5"/>
    <w:rsid w:val="00EB34C4"/>
    <w:rsid w:val="00EB4AB1"/>
    <w:rsid w:val="00EB4FB5"/>
    <w:rsid w:val="00EB5ABE"/>
    <w:rsid w:val="00EB6852"/>
    <w:rsid w:val="00EC75DA"/>
    <w:rsid w:val="00ED0D5E"/>
    <w:rsid w:val="00ED6143"/>
    <w:rsid w:val="00EF3531"/>
    <w:rsid w:val="00F033AB"/>
    <w:rsid w:val="00F219CD"/>
    <w:rsid w:val="00F26C48"/>
    <w:rsid w:val="00F30848"/>
    <w:rsid w:val="00F45EE5"/>
    <w:rsid w:val="00F54D77"/>
    <w:rsid w:val="00F54DDF"/>
    <w:rsid w:val="00F6030D"/>
    <w:rsid w:val="00F62838"/>
    <w:rsid w:val="00F65C58"/>
    <w:rsid w:val="00F66295"/>
    <w:rsid w:val="00F73EB5"/>
    <w:rsid w:val="00F838D4"/>
    <w:rsid w:val="00F925C2"/>
    <w:rsid w:val="00F92F2F"/>
    <w:rsid w:val="00FA4EAF"/>
    <w:rsid w:val="00FB4CBA"/>
    <w:rsid w:val="00FC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20BFC"/>
  <w15:docId w15:val="{30232938-57D5-4834-9FB6-28AC7140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CED"/>
    <w:pPr>
      <w:spacing w:after="120"/>
    </w:pPr>
    <w:rPr>
      <w:rFonts w:asciiTheme="minorHAnsi" w:hAnsiTheme="minorHAnsi"/>
      <w:sz w:val="22"/>
      <w:szCs w:val="24"/>
    </w:rPr>
  </w:style>
  <w:style w:type="paragraph" w:styleId="Heading1">
    <w:name w:val="heading 1"/>
    <w:basedOn w:val="Normal"/>
    <w:next w:val="Normal"/>
    <w:link w:val="Heading1Char"/>
    <w:qFormat/>
    <w:rsid w:val="00052167"/>
    <w:pPr>
      <w:keepNext/>
      <w:pBdr>
        <w:bottom w:val="thinThickLargeGap" w:sz="24" w:space="3" w:color="auto"/>
      </w:pBdr>
      <w:spacing w:before="240"/>
      <w:outlineLvl w:val="0"/>
    </w:pPr>
    <w:rPr>
      <w:b/>
      <w:sz w:val="30"/>
      <w:szCs w:val="20"/>
    </w:rPr>
  </w:style>
  <w:style w:type="paragraph" w:styleId="Heading2">
    <w:name w:val="heading 2"/>
    <w:basedOn w:val="Normal"/>
    <w:next w:val="Normal"/>
    <w:link w:val="Heading2Char"/>
    <w:qFormat/>
    <w:rsid w:val="00293CED"/>
    <w:pPr>
      <w:keepNext/>
      <w:outlineLvl w:val="1"/>
    </w:pPr>
    <w:rPr>
      <w:rFonts w:ascii="Calibri" w:hAnsi="Calibri" w:cs="Arial"/>
      <w:bCs/>
      <w:i/>
    </w:rPr>
  </w:style>
  <w:style w:type="paragraph" w:styleId="Heading3">
    <w:name w:val="heading 3"/>
    <w:basedOn w:val="E-mailSignature"/>
    <w:next w:val="Normal"/>
    <w:link w:val="Heading3Char"/>
    <w:qFormat/>
    <w:rsid w:val="00B80250"/>
    <w:pPr>
      <w:keepNext/>
      <w:outlineLvl w:val="2"/>
    </w:pPr>
    <w:rPr>
      <w:bCs/>
    </w:rPr>
  </w:style>
  <w:style w:type="paragraph" w:styleId="Heading4">
    <w:name w:val="heading 4"/>
    <w:basedOn w:val="Normal"/>
    <w:next w:val="Normal"/>
    <w:link w:val="Heading4Char"/>
    <w:qFormat/>
    <w:rsid w:val="00833D3E"/>
    <w:pPr>
      <w:keepNext/>
      <w:spacing w:after="0"/>
      <w:ind w:left="288"/>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167"/>
    <w:rPr>
      <w:rFonts w:asciiTheme="minorHAnsi" w:hAnsiTheme="minorHAnsi"/>
      <w:b/>
      <w:sz w:val="30"/>
    </w:rPr>
  </w:style>
  <w:style w:type="character" w:customStyle="1" w:styleId="Heading2Char">
    <w:name w:val="Heading 2 Char"/>
    <w:basedOn w:val="DefaultParagraphFont"/>
    <w:link w:val="Heading2"/>
    <w:rsid w:val="00293CED"/>
    <w:rPr>
      <w:rFonts w:ascii="Calibri" w:hAnsi="Calibri" w:cs="Arial"/>
      <w:bCs/>
      <w:i/>
      <w:sz w:val="22"/>
      <w:szCs w:val="24"/>
    </w:rPr>
  </w:style>
  <w:style w:type="character" w:customStyle="1" w:styleId="Heading3Char">
    <w:name w:val="Heading 3 Char"/>
    <w:basedOn w:val="DefaultParagraphFont"/>
    <w:link w:val="Heading3"/>
    <w:rsid w:val="00B80250"/>
    <w:rPr>
      <w:rFonts w:asciiTheme="minorHAnsi" w:hAnsiTheme="minorHAnsi"/>
      <w:bCs/>
      <w:sz w:val="22"/>
      <w:szCs w:val="24"/>
    </w:rPr>
  </w:style>
  <w:style w:type="character" w:customStyle="1" w:styleId="Heading4Char">
    <w:name w:val="Heading 4 Char"/>
    <w:basedOn w:val="DefaultParagraphFont"/>
    <w:link w:val="Heading4"/>
    <w:rsid w:val="00833D3E"/>
    <w:rPr>
      <w:rFonts w:asciiTheme="minorHAnsi" w:hAnsiTheme="minorHAnsi"/>
      <w:b/>
      <w:bCs/>
      <w:iCs/>
      <w:sz w:val="22"/>
      <w:szCs w:val="24"/>
    </w:rPr>
  </w:style>
  <w:style w:type="paragraph" w:styleId="Title">
    <w:name w:val="Title"/>
    <w:basedOn w:val="Normal"/>
    <w:link w:val="TitleChar"/>
    <w:qFormat/>
    <w:rsid w:val="00383739"/>
    <w:pPr>
      <w:spacing w:before="360" w:after="240"/>
    </w:pPr>
    <w:rPr>
      <w:rFonts w:ascii="Franklin Gothic Book" w:hAnsi="Franklin Gothic Book"/>
      <w:sz w:val="40"/>
    </w:rPr>
  </w:style>
  <w:style w:type="character" w:customStyle="1" w:styleId="TitleChar">
    <w:name w:val="Title Char"/>
    <w:basedOn w:val="DefaultParagraphFont"/>
    <w:link w:val="Title"/>
    <w:rsid w:val="00383739"/>
    <w:rPr>
      <w:rFonts w:ascii="Franklin Gothic Book" w:hAnsi="Franklin Gothic Book"/>
      <w:sz w:val="40"/>
      <w:szCs w:val="24"/>
    </w:rPr>
  </w:style>
  <w:style w:type="paragraph" w:styleId="Header">
    <w:name w:val="header"/>
    <w:basedOn w:val="Normal"/>
    <w:link w:val="HeaderChar"/>
    <w:uiPriority w:val="99"/>
    <w:unhideWhenUsed/>
    <w:rsid w:val="00E23A93"/>
    <w:pPr>
      <w:tabs>
        <w:tab w:val="center" w:pos="4680"/>
        <w:tab w:val="right" w:pos="9360"/>
      </w:tabs>
    </w:pPr>
  </w:style>
  <w:style w:type="character" w:customStyle="1" w:styleId="HeaderChar">
    <w:name w:val="Header Char"/>
    <w:basedOn w:val="DefaultParagraphFont"/>
    <w:link w:val="Header"/>
    <w:uiPriority w:val="99"/>
    <w:rsid w:val="00E23A93"/>
    <w:rPr>
      <w:sz w:val="24"/>
      <w:szCs w:val="24"/>
    </w:rPr>
  </w:style>
  <w:style w:type="paragraph" w:styleId="Footer">
    <w:name w:val="footer"/>
    <w:basedOn w:val="Normal"/>
    <w:link w:val="FooterChar"/>
    <w:uiPriority w:val="99"/>
    <w:unhideWhenUsed/>
    <w:rsid w:val="00E23A93"/>
    <w:pPr>
      <w:tabs>
        <w:tab w:val="center" w:pos="4680"/>
        <w:tab w:val="right" w:pos="9360"/>
      </w:tabs>
    </w:pPr>
  </w:style>
  <w:style w:type="character" w:customStyle="1" w:styleId="FooterChar">
    <w:name w:val="Footer Char"/>
    <w:basedOn w:val="DefaultParagraphFont"/>
    <w:link w:val="Footer"/>
    <w:uiPriority w:val="99"/>
    <w:rsid w:val="00E23A93"/>
    <w:rPr>
      <w:sz w:val="24"/>
      <w:szCs w:val="24"/>
    </w:rPr>
  </w:style>
  <w:style w:type="character" w:styleId="Hyperlink">
    <w:name w:val="Hyperlink"/>
    <w:basedOn w:val="DefaultParagraphFont"/>
    <w:uiPriority w:val="99"/>
    <w:unhideWhenUsed/>
    <w:rsid w:val="00E23A93"/>
    <w:rPr>
      <w:color w:val="0000FF" w:themeColor="hyperlink"/>
      <w:u w:val="single"/>
    </w:rPr>
  </w:style>
  <w:style w:type="paragraph" w:styleId="BalloonText">
    <w:name w:val="Balloon Text"/>
    <w:basedOn w:val="Normal"/>
    <w:link w:val="BalloonTextChar"/>
    <w:uiPriority w:val="99"/>
    <w:semiHidden/>
    <w:unhideWhenUsed/>
    <w:rsid w:val="00E23A93"/>
    <w:rPr>
      <w:rFonts w:ascii="Tahoma" w:hAnsi="Tahoma" w:cs="Tahoma"/>
      <w:sz w:val="16"/>
      <w:szCs w:val="16"/>
    </w:rPr>
  </w:style>
  <w:style w:type="character" w:customStyle="1" w:styleId="BalloonTextChar">
    <w:name w:val="Balloon Text Char"/>
    <w:basedOn w:val="DefaultParagraphFont"/>
    <w:link w:val="BalloonText"/>
    <w:uiPriority w:val="99"/>
    <w:semiHidden/>
    <w:rsid w:val="00E23A93"/>
    <w:rPr>
      <w:rFonts w:ascii="Tahoma" w:hAnsi="Tahoma" w:cs="Tahoma"/>
      <w:sz w:val="16"/>
      <w:szCs w:val="16"/>
    </w:rPr>
  </w:style>
  <w:style w:type="character" w:styleId="FollowedHyperlink">
    <w:name w:val="FollowedHyperlink"/>
    <w:basedOn w:val="DefaultParagraphFont"/>
    <w:uiPriority w:val="99"/>
    <w:semiHidden/>
    <w:unhideWhenUsed/>
    <w:rsid w:val="009B406D"/>
    <w:rPr>
      <w:color w:val="800080" w:themeColor="followedHyperlink"/>
      <w:u w:val="single"/>
    </w:rPr>
  </w:style>
  <w:style w:type="table" w:styleId="TableGrid">
    <w:name w:val="Table Grid"/>
    <w:basedOn w:val="TableNormal"/>
    <w:uiPriority w:val="59"/>
    <w:rsid w:val="00117B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B4F"/>
    <w:pPr>
      <w:ind w:left="720"/>
      <w:contextualSpacing/>
    </w:pPr>
  </w:style>
  <w:style w:type="character" w:styleId="Emphasis">
    <w:name w:val="Emphasis"/>
    <w:basedOn w:val="DefaultParagraphFont"/>
    <w:qFormat/>
    <w:rsid w:val="00833D3E"/>
    <w:rPr>
      <w:b/>
      <w:i/>
      <w:iCs/>
    </w:rPr>
  </w:style>
  <w:style w:type="paragraph" w:styleId="E-mailSignature">
    <w:name w:val="E-mail Signature"/>
    <w:basedOn w:val="Normal"/>
    <w:link w:val="E-mailSignatureChar"/>
    <w:uiPriority w:val="99"/>
    <w:semiHidden/>
    <w:unhideWhenUsed/>
    <w:rsid w:val="002603D7"/>
  </w:style>
  <w:style w:type="character" w:customStyle="1" w:styleId="E-mailSignatureChar">
    <w:name w:val="E-mail Signature Char"/>
    <w:basedOn w:val="DefaultParagraphFont"/>
    <w:link w:val="E-mailSignature"/>
    <w:uiPriority w:val="99"/>
    <w:semiHidden/>
    <w:rsid w:val="002603D7"/>
    <w:rPr>
      <w:rFonts w:asciiTheme="minorHAnsi" w:hAnsiTheme="minorHAnsi"/>
      <w:sz w:val="24"/>
      <w:szCs w:val="24"/>
    </w:rPr>
  </w:style>
  <w:style w:type="paragraph" w:styleId="Subtitle">
    <w:name w:val="Subtitle"/>
    <w:basedOn w:val="Normal"/>
    <w:next w:val="Normal"/>
    <w:link w:val="SubtitleChar"/>
    <w:qFormat/>
    <w:rsid w:val="007A7AC2"/>
    <w:pPr>
      <w:numPr>
        <w:ilvl w:val="1"/>
      </w:numPr>
      <w:spacing w:before="240" w:after="160"/>
    </w:pPr>
    <w:rPr>
      <w:rFonts w:ascii="Franklin Gothic Book" w:eastAsiaTheme="minorEastAsia" w:hAnsi="Franklin Gothic Book" w:cstheme="minorBidi"/>
      <w:b/>
      <w:spacing w:val="15"/>
      <w:sz w:val="36"/>
      <w:szCs w:val="22"/>
    </w:rPr>
  </w:style>
  <w:style w:type="character" w:customStyle="1" w:styleId="SubtitleChar">
    <w:name w:val="Subtitle Char"/>
    <w:basedOn w:val="DefaultParagraphFont"/>
    <w:link w:val="Subtitle"/>
    <w:rsid w:val="007A7AC2"/>
    <w:rPr>
      <w:rFonts w:ascii="Franklin Gothic Book" w:eastAsiaTheme="minorEastAsia" w:hAnsi="Franklin Gothic Book" w:cstheme="minorBidi"/>
      <w:b/>
      <w:spacing w:val="15"/>
      <w:sz w:val="36"/>
      <w:szCs w:val="22"/>
    </w:rPr>
  </w:style>
  <w:style w:type="paragraph" w:customStyle="1" w:styleId="Content">
    <w:name w:val="Content"/>
    <w:link w:val="ContentChar"/>
    <w:qFormat/>
    <w:rsid w:val="00833D3E"/>
    <w:pPr>
      <w:spacing w:after="120"/>
      <w:ind w:left="288"/>
    </w:pPr>
    <w:rPr>
      <w:rFonts w:asciiTheme="minorHAnsi" w:hAnsiTheme="minorHAnsi"/>
      <w:sz w:val="22"/>
      <w:szCs w:val="24"/>
    </w:rPr>
  </w:style>
  <w:style w:type="character" w:customStyle="1" w:styleId="ContentChar">
    <w:name w:val="Content Char"/>
    <w:basedOn w:val="DefaultParagraphFont"/>
    <w:link w:val="Content"/>
    <w:rsid w:val="00833D3E"/>
    <w:rPr>
      <w:rFonts w:asciiTheme="minorHAnsi" w:hAnsiTheme="minorHAnsi"/>
      <w:sz w:val="22"/>
      <w:szCs w:val="24"/>
    </w:rPr>
  </w:style>
  <w:style w:type="character" w:customStyle="1" w:styleId="zzmpTrailerItem">
    <w:name w:val="zzmpTrailerItem"/>
    <w:rsid w:val="00A07067"/>
    <w:rPr>
      <w:rFonts w:ascii="Calibri" w:hAnsi="Calibri"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E4727B"/>
    <w:rPr>
      <w:sz w:val="16"/>
      <w:szCs w:val="16"/>
    </w:rPr>
  </w:style>
  <w:style w:type="paragraph" w:styleId="CommentText">
    <w:name w:val="annotation text"/>
    <w:basedOn w:val="Normal"/>
    <w:link w:val="CommentTextChar"/>
    <w:uiPriority w:val="99"/>
    <w:semiHidden/>
    <w:unhideWhenUsed/>
    <w:rsid w:val="00E4727B"/>
    <w:rPr>
      <w:sz w:val="20"/>
      <w:szCs w:val="20"/>
    </w:rPr>
  </w:style>
  <w:style w:type="character" w:customStyle="1" w:styleId="CommentTextChar">
    <w:name w:val="Comment Text Char"/>
    <w:basedOn w:val="DefaultParagraphFont"/>
    <w:link w:val="CommentText"/>
    <w:uiPriority w:val="99"/>
    <w:semiHidden/>
    <w:rsid w:val="00E4727B"/>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4727B"/>
    <w:rPr>
      <w:b/>
      <w:bCs/>
    </w:rPr>
  </w:style>
  <w:style w:type="character" w:customStyle="1" w:styleId="CommentSubjectChar">
    <w:name w:val="Comment Subject Char"/>
    <w:basedOn w:val="CommentTextChar"/>
    <w:link w:val="CommentSubject"/>
    <w:uiPriority w:val="99"/>
    <w:semiHidden/>
    <w:rsid w:val="00E4727B"/>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03767">
      <w:bodyDiv w:val="1"/>
      <w:marLeft w:val="0"/>
      <w:marRight w:val="0"/>
      <w:marTop w:val="0"/>
      <w:marBottom w:val="0"/>
      <w:divBdr>
        <w:top w:val="none" w:sz="0" w:space="0" w:color="auto"/>
        <w:left w:val="none" w:sz="0" w:space="0" w:color="auto"/>
        <w:bottom w:val="none" w:sz="0" w:space="0" w:color="auto"/>
        <w:right w:val="none" w:sz="0" w:space="0" w:color="auto"/>
      </w:divBdr>
      <w:divsChild>
        <w:div w:id="672297962">
          <w:marLeft w:val="547"/>
          <w:marRight w:val="0"/>
          <w:marTop w:val="0"/>
          <w:marBottom w:val="0"/>
          <w:divBdr>
            <w:top w:val="none" w:sz="0" w:space="0" w:color="auto"/>
            <w:left w:val="none" w:sz="0" w:space="0" w:color="auto"/>
            <w:bottom w:val="none" w:sz="0" w:space="0" w:color="auto"/>
            <w:right w:val="none" w:sz="0" w:space="0" w:color="auto"/>
          </w:divBdr>
        </w:div>
        <w:div w:id="961418082">
          <w:marLeft w:val="547"/>
          <w:marRight w:val="0"/>
          <w:marTop w:val="0"/>
          <w:marBottom w:val="0"/>
          <w:divBdr>
            <w:top w:val="none" w:sz="0" w:space="0" w:color="auto"/>
            <w:left w:val="none" w:sz="0" w:space="0" w:color="auto"/>
            <w:bottom w:val="none" w:sz="0" w:space="0" w:color="auto"/>
            <w:right w:val="none" w:sz="0" w:space="0" w:color="auto"/>
          </w:divBdr>
        </w:div>
        <w:div w:id="1947541703">
          <w:marLeft w:val="547"/>
          <w:marRight w:val="0"/>
          <w:marTop w:val="0"/>
          <w:marBottom w:val="0"/>
          <w:divBdr>
            <w:top w:val="none" w:sz="0" w:space="0" w:color="auto"/>
            <w:left w:val="none" w:sz="0" w:space="0" w:color="auto"/>
            <w:bottom w:val="none" w:sz="0" w:space="0" w:color="auto"/>
            <w:right w:val="none" w:sz="0" w:space="0" w:color="auto"/>
          </w:divBdr>
        </w:div>
      </w:divsChild>
    </w:div>
    <w:div w:id="405110124">
      <w:bodyDiv w:val="1"/>
      <w:marLeft w:val="0"/>
      <w:marRight w:val="0"/>
      <w:marTop w:val="0"/>
      <w:marBottom w:val="0"/>
      <w:divBdr>
        <w:top w:val="none" w:sz="0" w:space="0" w:color="auto"/>
        <w:left w:val="none" w:sz="0" w:space="0" w:color="auto"/>
        <w:bottom w:val="none" w:sz="0" w:space="0" w:color="auto"/>
        <w:right w:val="none" w:sz="0" w:space="0" w:color="auto"/>
      </w:divBdr>
    </w:div>
    <w:div w:id="545918285">
      <w:bodyDiv w:val="1"/>
      <w:marLeft w:val="0"/>
      <w:marRight w:val="0"/>
      <w:marTop w:val="0"/>
      <w:marBottom w:val="0"/>
      <w:divBdr>
        <w:top w:val="none" w:sz="0" w:space="0" w:color="auto"/>
        <w:left w:val="none" w:sz="0" w:space="0" w:color="auto"/>
        <w:bottom w:val="none" w:sz="0" w:space="0" w:color="auto"/>
        <w:right w:val="none" w:sz="0" w:space="0" w:color="auto"/>
      </w:divBdr>
    </w:div>
    <w:div w:id="680931904">
      <w:bodyDiv w:val="1"/>
      <w:marLeft w:val="0"/>
      <w:marRight w:val="0"/>
      <w:marTop w:val="0"/>
      <w:marBottom w:val="0"/>
      <w:divBdr>
        <w:top w:val="none" w:sz="0" w:space="0" w:color="auto"/>
        <w:left w:val="none" w:sz="0" w:space="0" w:color="auto"/>
        <w:bottom w:val="none" w:sz="0" w:space="0" w:color="auto"/>
        <w:right w:val="none" w:sz="0" w:space="0" w:color="auto"/>
      </w:divBdr>
    </w:div>
    <w:div w:id="687096925">
      <w:bodyDiv w:val="1"/>
      <w:marLeft w:val="0"/>
      <w:marRight w:val="0"/>
      <w:marTop w:val="0"/>
      <w:marBottom w:val="0"/>
      <w:divBdr>
        <w:top w:val="none" w:sz="0" w:space="0" w:color="auto"/>
        <w:left w:val="none" w:sz="0" w:space="0" w:color="auto"/>
        <w:bottom w:val="none" w:sz="0" w:space="0" w:color="auto"/>
        <w:right w:val="none" w:sz="0" w:space="0" w:color="auto"/>
      </w:divBdr>
    </w:div>
    <w:div w:id="814182229">
      <w:bodyDiv w:val="1"/>
      <w:marLeft w:val="0"/>
      <w:marRight w:val="0"/>
      <w:marTop w:val="0"/>
      <w:marBottom w:val="0"/>
      <w:divBdr>
        <w:top w:val="none" w:sz="0" w:space="0" w:color="auto"/>
        <w:left w:val="none" w:sz="0" w:space="0" w:color="auto"/>
        <w:bottom w:val="none" w:sz="0" w:space="0" w:color="auto"/>
        <w:right w:val="none" w:sz="0" w:space="0" w:color="auto"/>
      </w:divBdr>
    </w:div>
    <w:div w:id="1126966702">
      <w:bodyDiv w:val="1"/>
      <w:marLeft w:val="0"/>
      <w:marRight w:val="0"/>
      <w:marTop w:val="0"/>
      <w:marBottom w:val="0"/>
      <w:divBdr>
        <w:top w:val="none" w:sz="0" w:space="0" w:color="auto"/>
        <w:left w:val="none" w:sz="0" w:space="0" w:color="auto"/>
        <w:bottom w:val="none" w:sz="0" w:space="0" w:color="auto"/>
        <w:right w:val="none" w:sz="0" w:space="0" w:color="auto"/>
      </w:divBdr>
    </w:div>
    <w:div w:id="1244680462">
      <w:bodyDiv w:val="1"/>
      <w:marLeft w:val="0"/>
      <w:marRight w:val="0"/>
      <w:marTop w:val="0"/>
      <w:marBottom w:val="0"/>
      <w:divBdr>
        <w:top w:val="none" w:sz="0" w:space="0" w:color="auto"/>
        <w:left w:val="none" w:sz="0" w:space="0" w:color="auto"/>
        <w:bottom w:val="none" w:sz="0" w:space="0" w:color="auto"/>
        <w:right w:val="none" w:sz="0" w:space="0" w:color="auto"/>
      </w:divBdr>
    </w:div>
    <w:div w:id="1720008722">
      <w:bodyDiv w:val="1"/>
      <w:marLeft w:val="0"/>
      <w:marRight w:val="0"/>
      <w:marTop w:val="0"/>
      <w:marBottom w:val="0"/>
      <w:divBdr>
        <w:top w:val="none" w:sz="0" w:space="0" w:color="auto"/>
        <w:left w:val="none" w:sz="0" w:space="0" w:color="auto"/>
        <w:bottom w:val="none" w:sz="0" w:space="0" w:color="auto"/>
        <w:right w:val="none" w:sz="0" w:space="0" w:color="auto"/>
      </w:divBdr>
    </w:div>
    <w:div w:id="17998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f2dd71cc-4bfb-41e3-be0f-613a07434cdc">Financing Task Force</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10/9/2013 7:52:38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10/9/2013 7:52:38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10/9/2013 7:52:38 PM</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38543447213EB4BA444317A17C5FC0E" ma:contentTypeVersion="1" ma:contentTypeDescription="Create a new document." ma:contentTypeScope="" ma:versionID="43e13fee27a1a9af8bb4b65c49b9027c">
  <xsd:schema xmlns:xsd="http://www.w3.org/2001/XMLSchema" xmlns:xs="http://www.w3.org/2001/XMLSchema" xmlns:p="http://schemas.microsoft.com/office/2006/metadata/properties" xmlns:ns2="f2dd71cc-4bfb-41e3-be0f-613a07434cdc" targetNamespace="http://schemas.microsoft.com/office/2006/metadata/properties" ma:root="true" ma:fieldsID="e7ef4931bfb4971ebe44e4209068a3a0" ns2:_="">
    <xsd:import namespace="f2dd71cc-4bfb-41e3-be0f-613a07434cdc"/>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d71cc-4bfb-41e3-be0f-613a07434cdc"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BRS"/>
          <xsd:enumeration value="Call Center Documents"/>
          <xsd:enumeration value="Changes in Circumstance"/>
          <xsd:enumeration value="County Newsletter"/>
          <xsd:enumeration value="Employee Updates"/>
          <xsd:enumeration value="Financing Task Force"/>
          <xsd:enumeration value="Forms"/>
          <xsd:enumeration value="HCA Organizational docs"/>
          <xsd:enumeration value="Health Care Reform"/>
          <xsd:enumeration value="Health Plan Open Enrollment"/>
          <xsd:enumeration value="HPE"/>
          <xsd:enumeration value="MA-EPD"/>
          <xsd:enumeration value="Member Help Desk Resources"/>
          <xsd:enumeration value="Member Legislative Notice"/>
          <xsd:enumeration value="Member Web Pages"/>
          <xsd:enumeration value="Mental health"/>
          <xsd:enumeration value="MFPP 2015 Project"/>
          <xsd:enumeration value="MinnesotaCare Premiums"/>
          <xsd:enumeration value="MinnesotaCare Tax HH Workaround"/>
          <xsd:enumeration value="MNsure Implementation Plan (Oct28)+Related"/>
          <xsd:enumeration value="New Eligibility System"/>
          <xsd:enumeration value="Notices Project"/>
          <xsd:enumeration value="Other"/>
          <xsd:enumeration value="Paper application"/>
          <xsd:enumeration value="Pending Applications"/>
          <xsd:enumeration value="PIX Meetings"/>
          <xsd:enumeration value="Provider Application&amp;Enrollment"/>
          <xsd:enumeration value="Providers"/>
          <xsd:enumeration value="Renewals"/>
          <xsd:enumeration value="Research"/>
          <xsd:enumeration value="Reset"/>
          <xsd:enumeration value="Retro MA"/>
          <xsd:enumeration value="Special Needs BasicCare"/>
          <xsd:enumeration value="Special Needs Purchasing"/>
          <xsd:enumeration value="Tridion Migration"/>
          <xsd:enumeration value="Web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9CFB5-A021-48F6-8BA9-B60B1CB10E3E}">
  <ds:schemaRefs>
    <ds:schemaRef ds:uri="http://schemas.microsoft.com/office/2006/metadata/properties"/>
    <ds:schemaRef ds:uri="http://schemas.microsoft.com/office/infopath/2007/PartnerControls"/>
    <ds:schemaRef ds:uri="f2dd71cc-4bfb-41e3-be0f-613a07434cdc"/>
  </ds:schemaRefs>
</ds:datastoreItem>
</file>

<file path=customXml/itemProps2.xml><?xml version="1.0" encoding="utf-8"?>
<ds:datastoreItem xmlns:ds="http://schemas.openxmlformats.org/officeDocument/2006/customXml" ds:itemID="{40645977-0C77-4CC6-9D39-5434B022F21E}">
  <ds:schemaRefs>
    <ds:schemaRef ds:uri="http://schemas.microsoft.com/sharepoint/v3/contenttype/forms"/>
  </ds:schemaRefs>
</ds:datastoreItem>
</file>

<file path=customXml/itemProps3.xml><?xml version="1.0" encoding="utf-8"?>
<ds:datastoreItem xmlns:ds="http://schemas.openxmlformats.org/officeDocument/2006/customXml" ds:itemID="{008A5100-FD28-4766-BB51-6B3D0C787394}">
  <ds:schemaRefs>
    <ds:schemaRef ds:uri="http://schemas.microsoft.com/sharepoint/events"/>
  </ds:schemaRefs>
</ds:datastoreItem>
</file>

<file path=customXml/itemProps4.xml><?xml version="1.0" encoding="utf-8"?>
<ds:datastoreItem xmlns:ds="http://schemas.openxmlformats.org/officeDocument/2006/customXml" ds:itemID="{BC558BF5-DF38-4AC7-99F3-68957F21C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d71cc-4bfb-41e3-be0f-613a07434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Barriers Workgroup 10 16 15 - Key Takeaways v1</vt:lpstr>
    </vt:vector>
  </TitlesOfParts>
  <Company>Minnesota Department of Health</Company>
  <LinksUpToDate>false</LinksUpToDate>
  <CharactersWithSpaces>12439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Workgroup 10 16 15 - Key Takeaways v1</dc:title>
  <dc:subject/>
  <dc:creator>Oconnor, Krista</dc:creator>
  <cp:keywords/>
  <dc:description/>
  <cp:lastModifiedBy>Schreier, Sandy</cp:lastModifiedBy>
  <cp:revision>2</cp:revision>
  <cp:lastPrinted>2013-11-15T17:36:00Z</cp:lastPrinted>
  <dcterms:created xsi:type="dcterms:W3CDTF">2015-10-27T17:54:00Z</dcterms:created>
  <dcterms:modified xsi:type="dcterms:W3CDTF">2015-10-27T17:54:00Z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0x010100A38543447213EB4BA444317A17C5FC0E</vt:lpwstr>
  </property>
</Properties>
</file>