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489" w14:textId="77777777" w:rsidR="00383739" w:rsidRDefault="00383739" w:rsidP="00DA512B">
      <w:pPr>
        <w:pStyle w:val="Title"/>
        <w:spacing w:after="0"/>
        <w:rPr>
          <w:rFonts w:asciiTheme="minorHAnsi" w:hAnsiTheme="minorHAnsi"/>
        </w:rPr>
      </w:pPr>
      <w:bookmarkStart w:id="0" w:name="_GoBack"/>
      <w:bookmarkEnd w:id="0"/>
      <w:r w:rsidRPr="0034405D">
        <w:rPr>
          <w:rFonts w:asciiTheme="minorHAnsi" w:hAnsiTheme="minorHAnsi"/>
        </w:rPr>
        <w:t>Health Care Financing Task Force</w:t>
      </w:r>
    </w:p>
    <w:p w14:paraId="4550648A" w14:textId="77777777" w:rsidR="00DA512B" w:rsidRPr="00DA512B" w:rsidRDefault="00DA512B" w:rsidP="00DA512B">
      <w:pPr>
        <w:spacing w:after="240"/>
        <w:rPr>
          <w:b/>
          <w:szCs w:val="22"/>
        </w:rPr>
      </w:pPr>
      <w:r w:rsidRPr="00DA512B">
        <w:rPr>
          <w:b/>
          <w:szCs w:val="22"/>
        </w:rPr>
        <w:t xml:space="preserve">Vision: </w:t>
      </w:r>
      <w:r w:rsidRPr="00DA512B">
        <w:rPr>
          <w:i/>
          <w:szCs w:val="22"/>
        </w:rPr>
        <w:t>Sustainable, quality health care for all Minnesotans</w:t>
      </w:r>
    </w:p>
    <w:p w14:paraId="4550648B" w14:textId="77777777" w:rsidR="00936B3A" w:rsidRPr="00675727" w:rsidRDefault="00936B3A" w:rsidP="00936B3A">
      <w:pPr>
        <w:rPr>
          <w:szCs w:val="22"/>
        </w:rPr>
      </w:pPr>
      <w:r w:rsidRPr="00675727">
        <w:rPr>
          <w:szCs w:val="22"/>
        </w:rPr>
        <w:t xml:space="preserve">MEETING: </w:t>
      </w:r>
      <w:r w:rsidR="001B7186">
        <w:rPr>
          <w:szCs w:val="22"/>
        </w:rPr>
        <w:t xml:space="preserve"> </w:t>
      </w:r>
      <w:r w:rsidRPr="00675727">
        <w:rPr>
          <w:szCs w:val="22"/>
        </w:rPr>
        <w:t>Seamless Coverage</w:t>
      </w:r>
      <w:r w:rsidR="001B7186">
        <w:rPr>
          <w:szCs w:val="22"/>
        </w:rPr>
        <w:t xml:space="preserve"> Workgroup</w:t>
      </w:r>
    </w:p>
    <w:p w14:paraId="4550648C" w14:textId="77777777" w:rsidR="00936B3A" w:rsidRPr="00675727" w:rsidRDefault="00936B3A" w:rsidP="00936B3A">
      <w:pPr>
        <w:rPr>
          <w:szCs w:val="22"/>
        </w:rPr>
      </w:pPr>
      <w:r w:rsidRPr="00675727">
        <w:rPr>
          <w:szCs w:val="22"/>
        </w:rPr>
        <w:t xml:space="preserve">Friday, October </w:t>
      </w:r>
      <w:r w:rsidR="001B7186">
        <w:rPr>
          <w:szCs w:val="22"/>
        </w:rPr>
        <w:t>16</w:t>
      </w:r>
      <w:r w:rsidRPr="00675727">
        <w:rPr>
          <w:szCs w:val="22"/>
        </w:rPr>
        <w:t>, 2015; 8:30 a.m. – 11:00 a.m.</w:t>
      </w:r>
    </w:p>
    <w:p w14:paraId="4550648D" w14:textId="77777777" w:rsidR="00936B3A" w:rsidRDefault="00936B3A" w:rsidP="00936B3A">
      <w:pPr>
        <w:rPr>
          <w:szCs w:val="22"/>
        </w:rPr>
      </w:pPr>
      <w:r w:rsidRPr="00675727">
        <w:rPr>
          <w:szCs w:val="22"/>
        </w:rPr>
        <w:t xml:space="preserve">Minnesota State Office Building, Room </w:t>
      </w:r>
      <w:r w:rsidR="009B50AD">
        <w:rPr>
          <w:szCs w:val="22"/>
        </w:rPr>
        <w:t>200 S</w:t>
      </w:r>
    </w:p>
    <w:p w14:paraId="4550648E" w14:textId="77777777" w:rsidR="00383739" w:rsidRPr="0034405D" w:rsidRDefault="00C44D92" w:rsidP="00383739">
      <w:pPr>
        <w:pStyle w:val="Subtitle"/>
        <w:rPr>
          <w:rFonts w:asciiTheme="minorHAnsi" w:hAnsiTheme="minorHAnsi"/>
        </w:rPr>
      </w:pPr>
      <w:r w:rsidRPr="0034405D">
        <w:rPr>
          <w:rFonts w:asciiTheme="minorHAnsi" w:hAnsiTheme="minorHAnsi"/>
        </w:rPr>
        <w:t>Minutes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Meeting minutes"/>
        <w:tblDescription w:val="Includes item, presenter, discussion and resolution"/>
      </w:tblPr>
      <w:tblGrid>
        <w:gridCol w:w="3235"/>
        <w:gridCol w:w="1710"/>
        <w:gridCol w:w="5845"/>
      </w:tblGrid>
      <w:tr w:rsidR="00C44D92" w:rsidRPr="00383739" w14:paraId="45506492" w14:textId="77777777" w:rsidTr="00C44D92">
        <w:trPr>
          <w:tblHeader/>
        </w:trPr>
        <w:tc>
          <w:tcPr>
            <w:tcW w:w="3235" w:type="dxa"/>
          </w:tcPr>
          <w:p w14:paraId="4550648F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1710" w:type="dxa"/>
          </w:tcPr>
          <w:p w14:paraId="45506490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  <w:tc>
          <w:tcPr>
            <w:tcW w:w="5845" w:type="dxa"/>
          </w:tcPr>
          <w:p w14:paraId="45506491" w14:textId="77777777" w:rsidR="00C44D92" w:rsidRPr="00383739" w:rsidRDefault="00C44D92" w:rsidP="00C44D9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/Resolution </w:t>
            </w:r>
          </w:p>
        </w:tc>
      </w:tr>
      <w:tr w:rsidR="005E3DE6" w14:paraId="45506499" w14:textId="77777777" w:rsidTr="00C44D92">
        <w:tc>
          <w:tcPr>
            <w:tcW w:w="3235" w:type="dxa"/>
          </w:tcPr>
          <w:p w14:paraId="45506493" w14:textId="77777777" w:rsidR="005E3DE6" w:rsidRPr="001B3332" w:rsidRDefault="005E3DE6" w:rsidP="001B7186">
            <w:pPr>
              <w:rPr>
                <w:b/>
                <w:szCs w:val="22"/>
              </w:rPr>
            </w:pPr>
            <w:r w:rsidRPr="005E3DE6">
              <w:rPr>
                <w:b/>
                <w:szCs w:val="22"/>
              </w:rPr>
              <w:t>Introduction</w:t>
            </w:r>
          </w:p>
        </w:tc>
        <w:tc>
          <w:tcPr>
            <w:tcW w:w="1710" w:type="dxa"/>
          </w:tcPr>
          <w:p w14:paraId="45506494" w14:textId="77777777" w:rsidR="005E3DE6" w:rsidRDefault="005E3DE6" w:rsidP="004A584D">
            <w:r>
              <w:t>Lynn Blewett</w:t>
            </w:r>
          </w:p>
        </w:tc>
        <w:tc>
          <w:tcPr>
            <w:tcW w:w="5845" w:type="dxa"/>
          </w:tcPr>
          <w:p w14:paraId="45506495" w14:textId="77777777" w:rsidR="00E418AB" w:rsidRDefault="00CB2FAB" w:rsidP="00E418AB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Seamless Coverage Workgroup </w:t>
            </w:r>
            <w:r w:rsidR="006D10BC">
              <w:rPr>
                <w:szCs w:val="22"/>
              </w:rPr>
              <w:t>lead</w:t>
            </w:r>
            <w:r w:rsidR="00651DD6">
              <w:rPr>
                <w:szCs w:val="22"/>
              </w:rPr>
              <w:t xml:space="preserve">, Dr. Lynn Blewett, </w:t>
            </w:r>
            <w:r>
              <w:rPr>
                <w:szCs w:val="22"/>
              </w:rPr>
              <w:t>opened the meeting</w:t>
            </w:r>
            <w:r w:rsidR="009206B0">
              <w:rPr>
                <w:szCs w:val="22"/>
              </w:rPr>
              <w:t xml:space="preserve"> and invited</w:t>
            </w:r>
            <w:r w:rsidR="006D10BC">
              <w:rPr>
                <w:szCs w:val="22"/>
              </w:rPr>
              <w:t xml:space="preserve"> Workgroup members to share their thoughts on the workgroup process and</w:t>
            </w:r>
            <w:r w:rsidR="00B94F2A">
              <w:rPr>
                <w:szCs w:val="22"/>
              </w:rPr>
              <w:t xml:space="preserve"> its</w:t>
            </w:r>
            <w:r w:rsidR="006D10BC">
              <w:rPr>
                <w:szCs w:val="22"/>
              </w:rPr>
              <w:t xml:space="preserve"> progress to date. </w:t>
            </w:r>
            <w:r w:rsidR="009206B0">
              <w:rPr>
                <w:szCs w:val="22"/>
              </w:rPr>
              <w:t xml:space="preserve"> </w:t>
            </w:r>
          </w:p>
          <w:p w14:paraId="45506496" w14:textId="77777777" w:rsidR="00E418AB" w:rsidRDefault="009206B0" w:rsidP="00E418AB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A number of members expressed concern regarding</w:t>
            </w:r>
            <w:r w:rsidR="00B94F2A">
              <w:rPr>
                <w:szCs w:val="22"/>
              </w:rPr>
              <w:t xml:space="preserve"> the</w:t>
            </w:r>
            <w:r w:rsidR="007F0AA2">
              <w:rPr>
                <w:szCs w:val="22"/>
              </w:rPr>
              <w:t xml:space="preserve"> pace of workgroup deliberations and the</w:t>
            </w:r>
            <w:r w:rsidR="00B94F2A">
              <w:rPr>
                <w:szCs w:val="22"/>
              </w:rPr>
              <w:t xml:space="preserve"> short timeline for developing recommendations</w:t>
            </w:r>
            <w:r>
              <w:rPr>
                <w:szCs w:val="22"/>
              </w:rPr>
              <w:t>, particularly in light of the broad scope of topics the workgroup plans to cover, the complexity of the issues under consideration, and the</w:t>
            </w:r>
            <w:r w:rsidR="007F0AA2">
              <w:rPr>
                <w:szCs w:val="22"/>
              </w:rPr>
              <w:t xml:space="preserve"> need to </w:t>
            </w:r>
            <w:r>
              <w:rPr>
                <w:szCs w:val="22"/>
              </w:rPr>
              <w:t>ensure</w:t>
            </w:r>
            <w:r w:rsidR="007F0AA2">
              <w:rPr>
                <w:szCs w:val="22"/>
              </w:rPr>
              <w:t xml:space="preserve"> recommendations </w:t>
            </w:r>
            <w:r w:rsidR="00E438F5">
              <w:rPr>
                <w:szCs w:val="22"/>
              </w:rPr>
              <w:t xml:space="preserve">are consensus-based and </w:t>
            </w:r>
            <w:r w:rsidR="0070253D">
              <w:rPr>
                <w:szCs w:val="22"/>
              </w:rPr>
              <w:t>reflect bipartisan solutions</w:t>
            </w:r>
            <w:r w:rsidR="00110AC3">
              <w:rPr>
                <w:szCs w:val="22"/>
              </w:rPr>
              <w:t xml:space="preserve"> with the greatest chance of legislative success</w:t>
            </w:r>
            <w:r w:rsidR="0070253D">
              <w:rPr>
                <w:szCs w:val="22"/>
              </w:rPr>
              <w:t xml:space="preserve">.  </w:t>
            </w:r>
          </w:p>
          <w:p w14:paraId="45506497" w14:textId="77777777" w:rsidR="00E418AB" w:rsidRDefault="00110AC3" w:rsidP="00E418AB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70253D">
              <w:rPr>
                <w:szCs w:val="22"/>
              </w:rPr>
              <w:t xml:space="preserve">embers requested </w:t>
            </w:r>
            <w:r>
              <w:rPr>
                <w:szCs w:val="22"/>
              </w:rPr>
              <w:t xml:space="preserve">that they be provided with additional background reading materials/resources in advance of future workgroup meetings to allow them more time to </w:t>
            </w:r>
            <w:r w:rsidR="00AD719C">
              <w:rPr>
                <w:szCs w:val="22"/>
              </w:rPr>
              <w:t>deepen their understanding of the issues and options under consideration and</w:t>
            </w:r>
            <w:r w:rsidR="003A7BD2">
              <w:rPr>
                <w:szCs w:val="22"/>
              </w:rPr>
              <w:t xml:space="preserve"> to think through potential recommendations.  </w:t>
            </w:r>
          </w:p>
          <w:p w14:paraId="45506498" w14:textId="77777777" w:rsidR="005E3DE6" w:rsidRDefault="003A7BD2" w:rsidP="007E6DC9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Some </w:t>
            </w:r>
            <w:r w:rsidR="00B13ABA">
              <w:rPr>
                <w:szCs w:val="22"/>
              </w:rPr>
              <w:t xml:space="preserve">workgroup </w:t>
            </w:r>
            <w:r>
              <w:rPr>
                <w:szCs w:val="22"/>
              </w:rPr>
              <w:t xml:space="preserve">members </w:t>
            </w:r>
            <w:r w:rsidR="008F5970">
              <w:rPr>
                <w:szCs w:val="22"/>
              </w:rPr>
              <w:t xml:space="preserve">also suggested </w:t>
            </w:r>
            <w:r w:rsidR="00E418AB">
              <w:rPr>
                <w:szCs w:val="22"/>
              </w:rPr>
              <w:t xml:space="preserve"> the group potentially consider</w:t>
            </w:r>
            <w:r w:rsidR="008F5970">
              <w:rPr>
                <w:szCs w:val="22"/>
              </w:rPr>
              <w:t xml:space="preserve"> narrowing the scope of recommendations included in the January 15 </w:t>
            </w:r>
            <w:r w:rsidR="00E418AB">
              <w:rPr>
                <w:szCs w:val="22"/>
              </w:rPr>
              <w:t>report</w:t>
            </w:r>
            <w:r w:rsidR="008F5970">
              <w:rPr>
                <w:szCs w:val="22"/>
              </w:rPr>
              <w:t xml:space="preserve"> to the Governor and Legislature</w:t>
            </w:r>
            <w:r w:rsidR="00BD2F07">
              <w:rPr>
                <w:szCs w:val="22"/>
              </w:rPr>
              <w:t xml:space="preserve">, or </w:t>
            </w:r>
            <w:r w:rsidR="008F5970">
              <w:rPr>
                <w:szCs w:val="22"/>
              </w:rPr>
              <w:t xml:space="preserve">ways to </w:t>
            </w:r>
            <w:r w:rsidR="00E418AB">
              <w:rPr>
                <w:szCs w:val="22"/>
              </w:rPr>
              <w:t xml:space="preserve">sequence the </w:t>
            </w:r>
            <w:r w:rsidR="00B13ABA">
              <w:rPr>
                <w:szCs w:val="22"/>
              </w:rPr>
              <w:t xml:space="preserve">timeline so that </w:t>
            </w:r>
            <w:r w:rsidR="00BD2F07">
              <w:rPr>
                <w:szCs w:val="22"/>
              </w:rPr>
              <w:t>a near-term set of issues are addressed in the January report and</w:t>
            </w:r>
            <w:r w:rsidR="007E6DC9">
              <w:rPr>
                <w:szCs w:val="22"/>
              </w:rPr>
              <w:t xml:space="preserve"> those</w:t>
            </w:r>
            <w:r w:rsidR="00BD2F07">
              <w:rPr>
                <w:szCs w:val="22"/>
              </w:rPr>
              <w:t xml:space="preserve"> requiring additional </w:t>
            </w:r>
            <w:r w:rsidR="007E6DC9">
              <w:rPr>
                <w:szCs w:val="22"/>
              </w:rPr>
              <w:t xml:space="preserve">deliberation addressed in a future report. </w:t>
            </w:r>
          </w:p>
        </w:tc>
      </w:tr>
      <w:tr w:rsidR="00C44D92" w14:paraId="455064AA" w14:textId="77777777" w:rsidTr="00C44D92">
        <w:tc>
          <w:tcPr>
            <w:tcW w:w="3235" w:type="dxa"/>
          </w:tcPr>
          <w:p w14:paraId="4550649A" w14:textId="77777777" w:rsidR="00C44D92" w:rsidRPr="00936B3A" w:rsidRDefault="001B7186" w:rsidP="001B15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Marketplace Options for Further Consideration </w:t>
            </w:r>
          </w:p>
        </w:tc>
        <w:tc>
          <w:tcPr>
            <w:tcW w:w="1710" w:type="dxa"/>
          </w:tcPr>
          <w:p w14:paraId="4550649B" w14:textId="77777777" w:rsidR="00C44D92" w:rsidRDefault="00936B3A" w:rsidP="001B15A4">
            <w:r>
              <w:t>Manatt</w:t>
            </w:r>
            <w:r w:rsidR="001B7186">
              <w:t xml:space="preserve"> and M</w:t>
            </w:r>
            <w:r w:rsidR="00FB4133">
              <w:t>N.IT</w:t>
            </w:r>
          </w:p>
        </w:tc>
        <w:tc>
          <w:tcPr>
            <w:tcW w:w="5845" w:type="dxa"/>
          </w:tcPr>
          <w:p w14:paraId="4550649C" w14:textId="77777777" w:rsidR="006B560C" w:rsidRDefault="008B0BFC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i/>
                <w:szCs w:val="22"/>
              </w:rPr>
              <w:t>See Manatt presentation.</w:t>
            </w:r>
          </w:p>
          <w:p w14:paraId="4550649D" w14:textId="77777777" w:rsidR="00964BC5" w:rsidRPr="001B7B26" w:rsidRDefault="00345C6B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 w:rsidRPr="001B7B26">
              <w:rPr>
                <w:szCs w:val="22"/>
              </w:rPr>
              <w:t>Patr</w:t>
            </w:r>
            <w:r w:rsidR="007E6DC9" w:rsidRPr="001B7B26">
              <w:rPr>
                <w:szCs w:val="22"/>
              </w:rPr>
              <w:t xml:space="preserve">icia Boozang of Manatt reviewed the </w:t>
            </w:r>
            <w:r w:rsidR="00BE0E15" w:rsidRPr="001B7B26">
              <w:rPr>
                <w:szCs w:val="22"/>
              </w:rPr>
              <w:t>“</w:t>
            </w:r>
            <w:r w:rsidR="007E6DC9" w:rsidRPr="001B7B26">
              <w:rPr>
                <w:szCs w:val="22"/>
              </w:rPr>
              <w:t>Marketplace problem statement</w:t>
            </w:r>
            <w:r w:rsidR="00BE0E15" w:rsidRPr="001B7B26">
              <w:rPr>
                <w:szCs w:val="22"/>
              </w:rPr>
              <w:t xml:space="preserve">” which was developed based on discussion at the </w:t>
            </w:r>
            <w:r w:rsidR="004E40AD" w:rsidRPr="001B7B26">
              <w:rPr>
                <w:szCs w:val="22"/>
              </w:rPr>
              <w:t>group’s</w:t>
            </w:r>
            <w:r w:rsidR="00BE0E15" w:rsidRPr="001B7B26">
              <w:rPr>
                <w:szCs w:val="22"/>
              </w:rPr>
              <w:t xml:space="preserve"> last meeting and describes</w:t>
            </w:r>
            <w:r w:rsidR="004E40AD" w:rsidRPr="001B7B26">
              <w:rPr>
                <w:szCs w:val="22"/>
              </w:rPr>
              <w:t xml:space="preserve"> areas of concern with regard to MNsure that the </w:t>
            </w:r>
            <w:r w:rsidR="00BE0E15" w:rsidRPr="001B7B26">
              <w:rPr>
                <w:szCs w:val="22"/>
              </w:rPr>
              <w:t xml:space="preserve">Workgroup </w:t>
            </w:r>
            <w:r w:rsidR="004E40AD" w:rsidRPr="001B7B26">
              <w:rPr>
                <w:szCs w:val="22"/>
              </w:rPr>
              <w:lastRenderedPageBreak/>
              <w:t>intends to address through its recommendations.</w:t>
            </w:r>
            <w:r w:rsidR="001B7B26">
              <w:rPr>
                <w:szCs w:val="22"/>
              </w:rPr>
              <w:t xml:space="preserve"> </w:t>
            </w:r>
            <w:r w:rsidR="005E158C" w:rsidRPr="001B7B26">
              <w:rPr>
                <w:szCs w:val="22"/>
              </w:rPr>
              <w:t xml:space="preserve">Ms. Boozang also reviewed the </w:t>
            </w:r>
            <w:r w:rsidR="00964BC5" w:rsidRPr="001B7B26">
              <w:rPr>
                <w:szCs w:val="22"/>
              </w:rPr>
              <w:t>goals for a Marketplace in Minnesota, which were similarly d</w:t>
            </w:r>
            <w:r w:rsidR="005E158C" w:rsidRPr="001B7B26">
              <w:rPr>
                <w:szCs w:val="22"/>
              </w:rPr>
              <w:t xml:space="preserve">eveloped </w:t>
            </w:r>
            <w:r w:rsidR="00964BC5" w:rsidRPr="001B7B26">
              <w:rPr>
                <w:szCs w:val="22"/>
              </w:rPr>
              <w:t xml:space="preserve">based on discussion at the Workgroup’s last meeting. </w:t>
            </w:r>
          </w:p>
          <w:p w14:paraId="4550649E" w14:textId="77777777" w:rsidR="0058322B" w:rsidRDefault="0058322B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Ms. Boozang</w:t>
            </w:r>
            <w:r w:rsidR="006B560C">
              <w:rPr>
                <w:rFonts w:eastAsia="Times New Roman" w:cs="Times New Roman"/>
                <w:szCs w:val="22"/>
              </w:rPr>
              <w:t xml:space="preserve"> </w:t>
            </w:r>
            <w:r w:rsidR="007A6B71">
              <w:rPr>
                <w:rFonts w:eastAsia="Times New Roman" w:cs="Times New Roman"/>
                <w:szCs w:val="22"/>
              </w:rPr>
              <w:t xml:space="preserve">then reviewed the four Marketplace models under consideration, noting that no options were eliminated following last week’s Workgroup discussion and that all options remain on the table for </w:t>
            </w:r>
            <w:r w:rsidR="0011777D">
              <w:rPr>
                <w:rFonts w:eastAsia="Times New Roman" w:cs="Times New Roman"/>
                <w:szCs w:val="22"/>
              </w:rPr>
              <w:t xml:space="preserve">the group’s consideration. </w:t>
            </w:r>
          </w:p>
          <w:p w14:paraId="4550649F" w14:textId="77777777" w:rsidR="0058051B" w:rsidRDefault="00675797" w:rsidP="0058051B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One member asked whether an option exists to temporarily move to the </w:t>
            </w:r>
            <w:r w:rsidR="00065D3A">
              <w:rPr>
                <w:szCs w:val="22"/>
              </w:rPr>
              <w:t xml:space="preserve">federal </w:t>
            </w:r>
            <w:r>
              <w:rPr>
                <w:szCs w:val="22"/>
              </w:rPr>
              <w:t>IT platform for Marketplace programs while state IT issues are addre</w:t>
            </w:r>
            <w:r w:rsidR="0058051B">
              <w:rPr>
                <w:szCs w:val="22"/>
              </w:rPr>
              <w:t>ssed, and whether this might assist in accelerating implementation of MN’s Integrated Services Delivery System</w:t>
            </w:r>
            <w:r w:rsidR="005B0031">
              <w:rPr>
                <w:szCs w:val="22"/>
              </w:rPr>
              <w:t xml:space="preserve"> (ISDS)</w:t>
            </w:r>
            <w:r w:rsidR="0058051B">
              <w:rPr>
                <w:szCs w:val="22"/>
              </w:rPr>
              <w:t xml:space="preserve">.  </w:t>
            </w:r>
            <w:r w:rsidR="00E84705">
              <w:rPr>
                <w:szCs w:val="22"/>
              </w:rPr>
              <w:t>In response, the group agreed to turn to its</w:t>
            </w:r>
            <w:r w:rsidR="0058051B">
              <w:rPr>
                <w:szCs w:val="22"/>
              </w:rPr>
              <w:t xml:space="preserve"> </w:t>
            </w:r>
            <w:r w:rsidR="00964BC5">
              <w:rPr>
                <w:szCs w:val="22"/>
              </w:rPr>
              <w:t xml:space="preserve">planned discussion around the “stay the course” option to allow representatives from MN.IT to report out on the current status of </w:t>
            </w:r>
            <w:r w:rsidR="005B0031">
              <w:rPr>
                <w:szCs w:val="22"/>
              </w:rPr>
              <w:t xml:space="preserve">the ISDS, as well as the current status of MNsure’s IT functionality for the upcoming open enrollment period. </w:t>
            </w:r>
          </w:p>
          <w:p w14:paraId="455064A0" w14:textId="77777777" w:rsidR="00E90A6C" w:rsidRDefault="005E158C" w:rsidP="00CC4B15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Scott </w:t>
            </w:r>
            <w:r w:rsidR="005B0031">
              <w:rPr>
                <w:szCs w:val="22"/>
              </w:rPr>
              <w:t>Peterson</w:t>
            </w:r>
            <w:r>
              <w:rPr>
                <w:szCs w:val="22"/>
              </w:rPr>
              <w:t xml:space="preserve"> of MN.IT </w:t>
            </w:r>
            <w:r w:rsidR="00F41D7C">
              <w:rPr>
                <w:szCs w:val="22"/>
              </w:rPr>
              <w:t xml:space="preserve">recapped the four ongoing DHS IT modernization initiatives </w:t>
            </w:r>
            <w:r w:rsidR="00C91589">
              <w:rPr>
                <w:szCs w:val="22"/>
              </w:rPr>
              <w:t>that the</w:t>
            </w:r>
            <w:r w:rsidR="00F41D7C">
              <w:rPr>
                <w:szCs w:val="22"/>
              </w:rPr>
              <w:t xml:space="preserve"> group discussed at its last meeting, </w:t>
            </w:r>
            <w:r w:rsidR="00267F72">
              <w:rPr>
                <w:szCs w:val="22"/>
              </w:rPr>
              <w:t>focusing particularly</w:t>
            </w:r>
            <w:r w:rsidR="00F41D7C">
              <w:rPr>
                <w:szCs w:val="22"/>
              </w:rPr>
              <w:t xml:space="preserve"> </w:t>
            </w:r>
            <w:r w:rsidR="00CC4B15">
              <w:rPr>
                <w:szCs w:val="22"/>
              </w:rPr>
              <w:t xml:space="preserve">on the MNsure IT system and ISDS. </w:t>
            </w:r>
          </w:p>
          <w:p w14:paraId="455064A1" w14:textId="77777777" w:rsidR="00F1554F" w:rsidRDefault="00F1554F" w:rsidP="00BA67D5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Workgroup members discussed the impact of the various</w:t>
            </w:r>
            <w:r w:rsidR="00267F72">
              <w:rPr>
                <w:szCs w:val="22"/>
              </w:rPr>
              <w:t xml:space="preserve"> Marketplace</w:t>
            </w:r>
            <w:r>
              <w:rPr>
                <w:szCs w:val="22"/>
              </w:rPr>
              <w:t xml:space="preserve"> models under consideration on MN’s IT </w:t>
            </w:r>
            <w:r w:rsidR="00C91589">
              <w:rPr>
                <w:szCs w:val="22"/>
              </w:rPr>
              <w:t xml:space="preserve">systems, specifically with regard to </w:t>
            </w:r>
            <w:r>
              <w:rPr>
                <w:szCs w:val="22"/>
              </w:rPr>
              <w:t xml:space="preserve">the extent to which </w:t>
            </w:r>
            <w:r w:rsidR="00BE19E3">
              <w:rPr>
                <w:szCs w:val="22"/>
              </w:rPr>
              <w:t>moving</w:t>
            </w:r>
            <w:r w:rsidR="00C741C9">
              <w:rPr>
                <w:szCs w:val="22"/>
              </w:rPr>
              <w:t xml:space="preserve"> QHP eligibility determinations to the </w:t>
            </w:r>
            <w:r w:rsidR="00065D3A">
              <w:rPr>
                <w:szCs w:val="22"/>
              </w:rPr>
              <w:t xml:space="preserve">FFM </w:t>
            </w:r>
            <w:r w:rsidR="00BE19E3">
              <w:rPr>
                <w:szCs w:val="22"/>
              </w:rPr>
              <w:t>would</w:t>
            </w:r>
            <w:r w:rsidR="00C741C9">
              <w:rPr>
                <w:szCs w:val="22"/>
              </w:rPr>
              <w:t xml:space="preserve"> </w:t>
            </w:r>
            <w:r w:rsidR="00E84705">
              <w:rPr>
                <w:szCs w:val="22"/>
              </w:rPr>
              <w:t xml:space="preserve">require coordination </w:t>
            </w:r>
            <w:r w:rsidR="00BE19E3">
              <w:rPr>
                <w:szCs w:val="22"/>
              </w:rPr>
              <w:t>and data exchange with DHS around Medicaid eligibility d</w:t>
            </w:r>
            <w:r>
              <w:rPr>
                <w:szCs w:val="22"/>
              </w:rPr>
              <w:t>etermination</w:t>
            </w:r>
            <w:r w:rsidR="00BE19E3">
              <w:rPr>
                <w:szCs w:val="22"/>
              </w:rPr>
              <w:t>s</w:t>
            </w:r>
            <w:r>
              <w:rPr>
                <w:szCs w:val="22"/>
              </w:rPr>
              <w:t xml:space="preserve">.  </w:t>
            </w:r>
            <w:r w:rsidR="00B92094">
              <w:rPr>
                <w:szCs w:val="22"/>
              </w:rPr>
              <w:t xml:space="preserve">Discussion included a brief overview of </w:t>
            </w:r>
            <w:r w:rsidR="00C91589">
              <w:rPr>
                <w:szCs w:val="22"/>
              </w:rPr>
              <w:t>the differences between the FFM Determination model  and the FFM Assessment model</w:t>
            </w:r>
            <w:r w:rsidR="00BA67D5">
              <w:rPr>
                <w:szCs w:val="22"/>
              </w:rPr>
              <w:t>, and the relative advantages/disadvantages of each</w:t>
            </w:r>
            <w:r w:rsidR="00C91589">
              <w:rPr>
                <w:szCs w:val="22"/>
              </w:rPr>
              <w:t xml:space="preserve">. </w:t>
            </w:r>
            <w:r>
              <w:rPr>
                <w:szCs w:val="22"/>
              </w:rPr>
              <w:t>The group requested additional information on</w:t>
            </w:r>
            <w:r w:rsidR="00C91589">
              <w:rPr>
                <w:szCs w:val="22"/>
              </w:rPr>
              <w:t xml:space="preserve"> states </w:t>
            </w:r>
            <w:r w:rsidR="00BA67D5">
              <w:rPr>
                <w:szCs w:val="22"/>
              </w:rPr>
              <w:t>that</w:t>
            </w:r>
            <w:r w:rsidR="00C91589">
              <w:rPr>
                <w:szCs w:val="22"/>
              </w:rPr>
              <w:t xml:space="preserve"> have opted to use the Determination model and their experiences to date. </w:t>
            </w:r>
            <w:r>
              <w:rPr>
                <w:szCs w:val="22"/>
              </w:rPr>
              <w:t xml:space="preserve"> </w:t>
            </w:r>
          </w:p>
          <w:p w14:paraId="455064A2" w14:textId="77777777" w:rsidR="00BA67D5" w:rsidRDefault="00BA67D5" w:rsidP="00996268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Mr. Peterson also provided an overview of the </w:t>
            </w:r>
            <w:r w:rsidR="001B7B26">
              <w:rPr>
                <w:szCs w:val="22"/>
              </w:rPr>
              <w:t xml:space="preserve">IT project governance structure for the modernization initiatives, </w:t>
            </w:r>
            <w:r w:rsidR="00996268">
              <w:rPr>
                <w:szCs w:val="22"/>
              </w:rPr>
              <w:t xml:space="preserve">with a particular focus on how </w:t>
            </w:r>
            <w:r w:rsidR="00267F72">
              <w:rPr>
                <w:szCs w:val="22"/>
              </w:rPr>
              <w:t xml:space="preserve">projects align within the Department, how priority decisions are made, and where </w:t>
            </w:r>
            <w:r w:rsidR="00996268">
              <w:rPr>
                <w:szCs w:val="22"/>
              </w:rPr>
              <w:t xml:space="preserve">MNsure </w:t>
            </w:r>
            <w:r w:rsidR="00267F72">
              <w:rPr>
                <w:szCs w:val="22"/>
              </w:rPr>
              <w:t>and</w:t>
            </w:r>
            <w:r w:rsidR="00996268">
              <w:rPr>
                <w:szCs w:val="22"/>
              </w:rPr>
              <w:t xml:space="preserve"> ISDS with within the governance structure</w:t>
            </w:r>
            <w:r w:rsidR="001B7B26">
              <w:rPr>
                <w:szCs w:val="22"/>
              </w:rPr>
              <w:t xml:space="preserve">. </w:t>
            </w:r>
          </w:p>
          <w:p w14:paraId="455064A3" w14:textId="77777777" w:rsidR="00F3028A" w:rsidRDefault="00267F72" w:rsidP="00F3028A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Mr. Peterson next provided additional details on the timeline for the MNSure IT</w:t>
            </w:r>
            <w:r w:rsidR="007167FA">
              <w:rPr>
                <w:szCs w:val="22"/>
              </w:rPr>
              <w:t xml:space="preserve"> system, noting that there are additional releases planned in 2015 that will enhance </w:t>
            </w:r>
            <w:r w:rsidR="007167FA">
              <w:rPr>
                <w:szCs w:val="22"/>
              </w:rPr>
              <w:lastRenderedPageBreak/>
              <w:t xml:space="preserve">system core functionality and deliver a range of functionality improvements and defect fixes </w:t>
            </w:r>
            <w:r w:rsidR="00F3028A">
              <w:rPr>
                <w:szCs w:val="22"/>
              </w:rPr>
              <w:t>(e.g.,</w:t>
            </w:r>
            <w:r w:rsidR="001E6258">
              <w:rPr>
                <w:szCs w:val="22"/>
              </w:rPr>
              <w:t xml:space="preserve"> around 834 transactions and the planned assister portal). MN.IT will provide members with additional details regarding the specific functionality</w:t>
            </w:r>
            <w:r w:rsidR="00F3028A">
              <w:rPr>
                <w:szCs w:val="22"/>
              </w:rPr>
              <w:t xml:space="preserve"> planned.  </w:t>
            </w:r>
          </w:p>
          <w:p w14:paraId="455064A4" w14:textId="77777777" w:rsidR="0083242A" w:rsidRDefault="00F3028A" w:rsidP="008118D1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The group discussed the 834 enrollment transaction and</w:t>
            </w:r>
            <w:r w:rsidR="009E43D5">
              <w:rPr>
                <w:szCs w:val="22"/>
              </w:rPr>
              <w:t xml:space="preserve"> the</w:t>
            </w:r>
            <w:r>
              <w:rPr>
                <w:szCs w:val="22"/>
              </w:rPr>
              <w:t xml:space="preserve"> progress </w:t>
            </w:r>
            <w:r w:rsidR="00101067">
              <w:rPr>
                <w:szCs w:val="22"/>
              </w:rPr>
              <w:t xml:space="preserve">made to date in addressing related challenges.  </w:t>
            </w:r>
            <w:r w:rsidR="009E43D5">
              <w:rPr>
                <w:szCs w:val="22"/>
              </w:rPr>
              <w:t>There</w:t>
            </w:r>
            <w:r w:rsidR="00101067">
              <w:rPr>
                <w:szCs w:val="22"/>
              </w:rPr>
              <w:t xml:space="preserve"> have been several</w:t>
            </w:r>
            <w:r w:rsidR="009E43D5">
              <w:rPr>
                <w:szCs w:val="22"/>
              </w:rPr>
              <w:t xml:space="preserve"> </w:t>
            </w:r>
            <w:r w:rsidR="00101067">
              <w:rPr>
                <w:szCs w:val="22"/>
              </w:rPr>
              <w:t>rounds of testing around the 834 transaction</w:t>
            </w:r>
            <w:r w:rsidR="009E43D5">
              <w:rPr>
                <w:szCs w:val="22"/>
              </w:rPr>
              <w:t xml:space="preserve"> with a final round of testing expected in the near-term, with an expectation that this will be ready for the 2016 open enrollment period</w:t>
            </w:r>
            <w:r w:rsidR="008118D1">
              <w:rPr>
                <w:szCs w:val="22"/>
              </w:rPr>
              <w:t xml:space="preserve"> (OEP)</w:t>
            </w:r>
            <w:r w:rsidR="009E43D5">
              <w:rPr>
                <w:szCs w:val="22"/>
              </w:rPr>
              <w:t xml:space="preserve">. </w:t>
            </w:r>
            <w:r w:rsidR="00C34F20">
              <w:rPr>
                <w:szCs w:val="22"/>
              </w:rPr>
              <w:t xml:space="preserve"> However, it was noted that despite significant progress, there will still be some limitations to full auto-enrollment functionality for the 2016 OEP (e.g., will not yet have auto-enrollment functionality for renewals or special enrollment periods)</w:t>
            </w:r>
            <w:r w:rsidR="008118D1">
              <w:rPr>
                <w:szCs w:val="22"/>
              </w:rPr>
              <w:t>, which is currently available through the FFM</w:t>
            </w:r>
            <w:r w:rsidR="00C34F20">
              <w:rPr>
                <w:szCs w:val="22"/>
              </w:rPr>
              <w:t>.</w:t>
            </w:r>
          </w:p>
          <w:p w14:paraId="455064A5" w14:textId="77777777" w:rsidR="00F3028A" w:rsidRDefault="00F345F7" w:rsidP="0083242A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Workgroup members requested additional information outlining the key IT functionalities for Marketpl</w:t>
            </w:r>
            <w:r w:rsidR="0083242A">
              <w:rPr>
                <w:szCs w:val="22"/>
              </w:rPr>
              <w:t xml:space="preserve">ace transactions and the extent to which they are currently offered or better performed by the MNsure IT System versus by the FFM IT system. </w:t>
            </w:r>
          </w:p>
          <w:p w14:paraId="455064A6" w14:textId="77777777" w:rsidR="00A00260" w:rsidRDefault="00A00260" w:rsidP="00B67DB0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Workgroup members discussed and agreed that the best way to assess the current state of MNsure’s IT system and how it compares to other IT models, </w:t>
            </w:r>
            <w:r w:rsidR="00C11BE2">
              <w:rPr>
                <w:szCs w:val="22"/>
              </w:rPr>
              <w:t>including the federal IT system, is to evaluate its</w:t>
            </w:r>
            <w:r w:rsidR="006E2B88">
              <w:rPr>
                <w:szCs w:val="22"/>
              </w:rPr>
              <w:t xml:space="preserve"> relative</w:t>
            </w:r>
            <w:r w:rsidR="00C11BE2">
              <w:rPr>
                <w:szCs w:val="22"/>
              </w:rPr>
              <w:t xml:space="preserve"> performanc</w:t>
            </w:r>
            <w:r w:rsidR="006E2B88">
              <w:rPr>
                <w:szCs w:val="22"/>
              </w:rPr>
              <w:t>e during the 2016 OEP. To inform this assessment</w:t>
            </w:r>
            <w:r w:rsidR="00B67DB0">
              <w:rPr>
                <w:szCs w:val="22"/>
              </w:rPr>
              <w:t xml:space="preserve"> and resulting recommendations regarding MNsure</w:t>
            </w:r>
            <w:r w:rsidR="00C11BE2">
              <w:rPr>
                <w:szCs w:val="22"/>
              </w:rPr>
              <w:t>, the Workgroup recommends</w:t>
            </w:r>
            <w:r w:rsidR="00B67DB0">
              <w:rPr>
                <w:szCs w:val="22"/>
              </w:rPr>
              <w:t xml:space="preserve"> developing</w:t>
            </w:r>
            <w:r w:rsidR="00C11BE2">
              <w:rPr>
                <w:szCs w:val="22"/>
              </w:rPr>
              <w:t xml:space="preserve"> criteria that </w:t>
            </w:r>
            <w:r w:rsidR="00B67DB0">
              <w:rPr>
                <w:szCs w:val="22"/>
              </w:rPr>
              <w:t>define expectations of the Marketplace, and against which</w:t>
            </w:r>
            <w:r w:rsidR="006E2B88">
              <w:rPr>
                <w:szCs w:val="22"/>
              </w:rPr>
              <w:t xml:space="preserve"> MNsure’s </w:t>
            </w:r>
            <w:r w:rsidR="00B67DB0">
              <w:rPr>
                <w:szCs w:val="22"/>
              </w:rPr>
              <w:t xml:space="preserve">2016 OEP </w:t>
            </w:r>
            <w:r w:rsidR="006E2B88">
              <w:rPr>
                <w:szCs w:val="22"/>
              </w:rPr>
              <w:t>performance (as well as the performance of states that are using supported SBM, FFM, and partially privatized models)</w:t>
            </w:r>
            <w:r w:rsidR="00B67DB0">
              <w:rPr>
                <w:szCs w:val="22"/>
              </w:rPr>
              <w:t xml:space="preserve"> can be assessed.</w:t>
            </w:r>
            <w:r w:rsidR="00B3764B">
              <w:rPr>
                <w:szCs w:val="22"/>
              </w:rPr>
              <w:t xml:space="preserve"> MNsure noted it would provide the Workgroup with details of its planned IT roadmap to inform criteria development. </w:t>
            </w:r>
          </w:p>
          <w:p w14:paraId="455064A7" w14:textId="77777777" w:rsidR="00DF7D79" w:rsidRDefault="00B3764B" w:rsidP="00B67DB0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Workgroup members noted that timing for this a</w:t>
            </w:r>
            <w:r w:rsidR="004F4891">
              <w:rPr>
                <w:szCs w:val="22"/>
              </w:rPr>
              <w:t>pproach</w:t>
            </w:r>
            <w:r>
              <w:rPr>
                <w:szCs w:val="22"/>
              </w:rPr>
              <w:t xml:space="preserve"> must be </w:t>
            </w:r>
            <w:r w:rsidR="004F4891">
              <w:rPr>
                <w:szCs w:val="22"/>
              </w:rPr>
              <w:t xml:space="preserve">given additional consideration; </w:t>
            </w:r>
            <w:r>
              <w:rPr>
                <w:szCs w:val="22"/>
              </w:rPr>
              <w:t>if the State decides to move to the FFM or a private vendor IT platform</w:t>
            </w:r>
            <w:r w:rsidR="004F4891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4F4891">
              <w:rPr>
                <w:szCs w:val="22"/>
              </w:rPr>
              <w:t xml:space="preserve">it would need to have completed its assessment and be ready to make its decision by Spring in order to ensure sufficient time to transition to a new model. </w:t>
            </w:r>
            <w:r w:rsidR="00DF7D79">
              <w:rPr>
                <w:szCs w:val="22"/>
              </w:rPr>
              <w:t xml:space="preserve"> </w:t>
            </w:r>
          </w:p>
          <w:p w14:paraId="455064A8" w14:textId="77777777" w:rsidR="00DF7D79" w:rsidRDefault="00BB4C54" w:rsidP="00BB4C54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>One member also suggested that the group co</w:t>
            </w:r>
            <w:r w:rsidR="00DF7D79">
              <w:rPr>
                <w:szCs w:val="22"/>
              </w:rPr>
              <w:t xml:space="preserve">nsider </w:t>
            </w:r>
            <w:r>
              <w:rPr>
                <w:szCs w:val="22"/>
              </w:rPr>
              <w:t>potential mechanisms for informing legislators regarding the criteria they should be</w:t>
            </w:r>
            <w:r w:rsidR="00DF7D79">
              <w:rPr>
                <w:szCs w:val="22"/>
              </w:rPr>
              <w:t xml:space="preserve"> monitoring/evalu</w:t>
            </w:r>
            <w:r>
              <w:rPr>
                <w:szCs w:val="22"/>
              </w:rPr>
              <w:t xml:space="preserve">ating during and following the 2016 OEP to best prepare them when the time comes to make decisions on the Marketplace. </w:t>
            </w:r>
          </w:p>
          <w:p w14:paraId="455064A9" w14:textId="77777777" w:rsidR="00BB4C54" w:rsidRPr="00F3028A" w:rsidRDefault="00C53338" w:rsidP="00C53338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group then </w:t>
            </w:r>
            <w:r w:rsidR="00493E50">
              <w:rPr>
                <w:szCs w:val="22"/>
              </w:rPr>
              <w:t xml:space="preserve">discussed the partially privatized Marketplace model, focusing on pros and cons and Idaho’s experience leveraging the model to date.  The group emphasized the importance of </w:t>
            </w:r>
            <w:r w:rsidR="00D17FE1">
              <w:rPr>
                <w:szCs w:val="22"/>
              </w:rPr>
              <w:t xml:space="preserve">evaluating the extent to which administrative efficiencies and cost savings are generated in the partially privatized model, as well as the extent to which it would or would not solve </w:t>
            </w:r>
            <w:r>
              <w:rPr>
                <w:szCs w:val="22"/>
              </w:rPr>
              <w:t>existing challenges. Members also noted the importance of evaluating the consumer experience in the partially privatized model, as well as</w:t>
            </w:r>
            <w:r w:rsidR="006F5F68">
              <w:rPr>
                <w:szCs w:val="22"/>
              </w:rPr>
              <w:t xml:space="preserve"> how</w:t>
            </w:r>
            <w:r>
              <w:rPr>
                <w:szCs w:val="22"/>
              </w:rPr>
              <w:t xml:space="preserve"> it interacts with brokers and Navigators. </w:t>
            </w:r>
          </w:p>
        </w:tc>
      </w:tr>
      <w:tr w:rsidR="00167440" w14:paraId="455064AF" w14:textId="77777777" w:rsidTr="00C44D92">
        <w:tc>
          <w:tcPr>
            <w:tcW w:w="3235" w:type="dxa"/>
          </w:tcPr>
          <w:p w14:paraId="455064AB" w14:textId="77777777" w:rsidR="00167440" w:rsidRDefault="00FB4133" w:rsidP="001B15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Discussion </w:t>
            </w:r>
          </w:p>
        </w:tc>
        <w:tc>
          <w:tcPr>
            <w:tcW w:w="1710" w:type="dxa"/>
          </w:tcPr>
          <w:p w14:paraId="455064AC" w14:textId="77777777" w:rsidR="00167440" w:rsidRDefault="00167440" w:rsidP="001B15A4"/>
        </w:tc>
        <w:tc>
          <w:tcPr>
            <w:tcW w:w="5845" w:type="dxa"/>
          </w:tcPr>
          <w:p w14:paraId="455064AD" w14:textId="77777777" w:rsidR="008D7E81" w:rsidRDefault="00C957A5" w:rsidP="00B810F9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The workgroup</w:t>
            </w:r>
            <w:r w:rsidR="006F5F68">
              <w:rPr>
                <w:szCs w:val="22"/>
              </w:rPr>
              <w:t xml:space="preserve"> </w:t>
            </w:r>
            <w:r w:rsidR="00BC1832">
              <w:rPr>
                <w:szCs w:val="22"/>
              </w:rPr>
              <w:t>reiterated their recommendation to</w:t>
            </w:r>
            <w:r w:rsidR="00B810F9">
              <w:rPr>
                <w:szCs w:val="22"/>
              </w:rPr>
              <w:t xml:space="preserve"> (1)</w:t>
            </w:r>
            <w:r w:rsidR="00BC1832">
              <w:rPr>
                <w:szCs w:val="22"/>
              </w:rPr>
              <w:t xml:space="preserve"> keep all four Marketplace options open for consideration, </w:t>
            </w:r>
            <w:r w:rsidR="00B810F9">
              <w:rPr>
                <w:szCs w:val="22"/>
              </w:rPr>
              <w:t xml:space="preserve">(2) </w:t>
            </w:r>
            <w:r w:rsidR="00BC1832">
              <w:rPr>
                <w:szCs w:val="22"/>
              </w:rPr>
              <w:t xml:space="preserve">use 2016 OEP experience and outcomes to inform the final decision among models, and </w:t>
            </w:r>
            <w:r w:rsidR="00B810F9">
              <w:rPr>
                <w:szCs w:val="22"/>
              </w:rPr>
              <w:t xml:space="preserve">(3) </w:t>
            </w:r>
            <w:r w:rsidR="00BC1832">
              <w:rPr>
                <w:szCs w:val="22"/>
              </w:rPr>
              <w:t>develop a list of criteria against which</w:t>
            </w:r>
            <w:r w:rsidR="00B810F9">
              <w:rPr>
                <w:szCs w:val="22"/>
              </w:rPr>
              <w:t xml:space="preserve"> to evaluate 2016 OEP performance. The group then </w:t>
            </w:r>
            <w:r w:rsidR="006F5F68">
              <w:rPr>
                <w:szCs w:val="22"/>
              </w:rPr>
              <w:t xml:space="preserve">turned to a preliminary </w:t>
            </w:r>
            <w:r w:rsidR="00B810F9">
              <w:rPr>
                <w:szCs w:val="22"/>
              </w:rPr>
              <w:t xml:space="preserve">discussion regarding </w:t>
            </w:r>
            <w:r w:rsidR="006F5F68">
              <w:rPr>
                <w:szCs w:val="22"/>
              </w:rPr>
              <w:t xml:space="preserve">a framework/criteria for </w:t>
            </w:r>
            <w:r w:rsidR="00B810F9">
              <w:rPr>
                <w:szCs w:val="22"/>
              </w:rPr>
              <w:t xml:space="preserve">assessing </w:t>
            </w:r>
            <w:r w:rsidR="006F5F68">
              <w:rPr>
                <w:szCs w:val="22"/>
              </w:rPr>
              <w:t xml:space="preserve">the options under consideration, and agreed that additional criteria should be added to the draft list in the slide deck, including:  </w:t>
            </w:r>
            <w:r w:rsidR="00BC1832">
              <w:rPr>
                <w:szCs w:val="22"/>
              </w:rPr>
              <w:t>impact on consumer assisters (e.g, brokers, Navigators, etc.), cost considerations, capacity to integrate wit</w:t>
            </w:r>
            <w:r w:rsidR="00B810F9">
              <w:rPr>
                <w:szCs w:val="22"/>
              </w:rPr>
              <w:t>h other eligibility and enrollment system/ISDS</w:t>
            </w:r>
            <w:r w:rsidR="00FD3BDE">
              <w:rPr>
                <w:szCs w:val="22"/>
              </w:rPr>
              <w:t>,</w:t>
            </w:r>
            <w:r w:rsidR="00B810F9">
              <w:rPr>
                <w:szCs w:val="22"/>
              </w:rPr>
              <w:t xml:space="preserve"> impact on MinnesotaCare</w:t>
            </w:r>
            <w:r w:rsidR="00FD3BDE">
              <w:rPr>
                <w:szCs w:val="22"/>
              </w:rPr>
              <w:t>, and success with back-end enrollment transactions</w:t>
            </w:r>
            <w:r w:rsidR="00B810F9">
              <w:rPr>
                <w:szCs w:val="22"/>
              </w:rPr>
              <w:t>.</w:t>
            </w:r>
          </w:p>
          <w:p w14:paraId="455064AE" w14:textId="77777777" w:rsidR="00FD3BDE" w:rsidRPr="00B810F9" w:rsidRDefault="00FD3BDE" w:rsidP="00B810F9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group also requested additional information on the differences between partially privatized and private marketplace models, and suggested potentially evaluating the experience of other states that employ state-administered county delivery services (e.g., Colorado). </w:t>
            </w:r>
          </w:p>
        </w:tc>
      </w:tr>
    </w:tbl>
    <w:p w14:paraId="455064B0" w14:textId="77777777" w:rsidR="00383739" w:rsidRDefault="00383739" w:rsidP="002169AB"/>
    <w:p w14:paraId="455064B1" w14:textId="77777777" w:rsidR="002169AB" w:rsidRPr="00383739" w:rsidRDefault="002169AB" w:rsidP="002169AB">
      <w:pPr>
        <w:spacing w:before="480" w:line="200" w:lineRule="exact"/>
      </w:pPr>
    </w:p>
    <w:sectPr w:rsidR="002169AB" w:rsidRPr="00383739" w:rsidSect="006406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64B4" w14:textId="77777777" w:rsidR="004939AD" w:rsidRDefault="004939AD" w:rsidP="003C1BA8">
      <w:r>
        <w:separator/>
      </w:r>
    </w:p>
  </w:endnote>
  <w:endnote w:type="continuationSeparator" w:id="0">
    <w:p w14:paraId="455064B5" w14:textId="77777777" w:rsidR="004939AD" w:rsidRDefault="004939AD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55064B7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014A84" w:rsidRPr="00014A84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55064B8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64BA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455064BD" wp14:editId="455064BE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64BF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55064C0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5064BD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455064BF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455064C0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64B2" w14:textId="77777777" w:rsidR="004939AD" w:rsidRDefault="004939AD" w:rsidP="003C1BA8">
      <w:r>
        <w:separator/>
      </w:r>
    </w:p>
  </w:footnote>
  <w:footnote w:type="continuationSeparator" w:id="0">
    <w:p w14:paraId="455064B3" w14:textId="77777777" w:rsidR="004939AD" w:rsidRDefault="004939AD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64B6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64B9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455064BB" wp14:editId="455064BC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309"/>
    <w:multiLevelType w:val="hybridMultilevel"/>
    <w:tmpl w:val="526E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386"/>
    <w:multiLevelType w:val="hybridMultilevel"/>
    <w:tmpl w:val="CB8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AF8"/>
    <w:multiLevelType w:val="hybridMultilevel"/>
    <w:tmpl w:val="B6300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2440651"/>
    <w:multiLevelType w:val="multilevel"/>
    <w:tmpl w:val="8C1EB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87AF9"/>
    <w:multiLevelType w:val="hybridMultilevel"/>
    <w:tmpl w:val="CC7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0081"/>
    <w:multiLevelType w:val="hybridMultilevel"/>
    <w:tmpl w:val="F410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25E6"/>
    <w:multiLevelType w:val="hybridMultilevel"/>
    <w:tmpl w:val="416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060D"/>
    <w:multiLevelType w:val="hybridMultilevel"/>
    <w:tmpl w:val="A830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593"/>
    <w:multiLevelType w:val="hybridMultilevel"/>
    <w:tmpl w:val="894C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4203"/>
    <w:multiLevelType w:val="hybridMultilevel"/>
    <w:tmpl w:val="828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265A"/>
    <w:multiLevelType w:val="hybridMultilevel"/>
    <w:tmpl w:val="E4D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669A7"/>
    <w:multiLevelType w:val="hybridMultilevel"/>
    <w:tmpl w:val="161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FF8"/>
    <w:multiLevelType w:val="hybridMultilevel"/>
    <w:tmpl w:val="E9EA5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BAB"/>
    <w:multiLevelType w:val="hybridMultilevel"/>
    <w:tmpl w:val="953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7459"/>
    <w:multiLevelType w:val="hybridMultilevel"/>
    <w:tmpl w:val="8790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E7E"/>
    <w:multiLevelType w:val="hybridMultilevel"/>
    <w:tmpl w:val="F594AF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05736"/>
    <w:multiLevelType w:val="hybridMultilevel"/>
    <w:tmpl w:val="F2C88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C6A4077"/>
    <w:multiLevelType w:val="hybridMultilevel"/>
    <w:tmpl w:val="C51EB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5"/>
  </w:num>
  <w:num w:numId="7">
    <w:abstractNumId w:val="0"/>
  </w:num>
  <w:num w:numId="8">
    <w:abstractNumId w:val="21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11"/>
  </w:num>
  <w:num w:numId="21">
    <w:abstractNumId w:val="12"/>
  </w:num>
  <w:num w:numId="22">
    <w:abstractNumId w:val="23"/>
  </w:num>
  <w:num w:numId="23">
    <w:abstractNumId w:val="20"/>
  </w:num>
  <w:num w:numId="24">
    <w:abstractNumId w:val="8"/>
  </w:num>
  <w:num w:numId="25">
    <w:abstractNumId w:val="24"/>
  </w:num>
  <w:num w:numId="26">
    <w:abstractNumId w:val="2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79735.1"/>
    <w:docVar w:name="MPDocIDTemplateDefault" w:val="%n|.%v"/>
    <w:docVar w:name="NewDocStampType" w:val="7"/>
  </w:docVars>
  <w:rsids>
    <w:rsidRoot w:val="004939AD"/>
    <w:rsid w:val="00014A84"/>
    <w:rsid w:val="000155CC"/>
    <w:rsid w:val="00016335"/>
    <w:rsid w:val="00032826"/>
    <w:rsid w:val="000408FA"/>
    <w:rsid w:val="00052167"/>
    <w:rsid w:val="00056FAA"/>
    <w:rsid w:val="00065C4F"/>
    <w:rsid w:val="00065D3A"/>
    <w:rsid w:val="0006799E"/>
    <w:rsid w:val="000A0D4D"/>
    <w:rsid w:val="000B374F"/>
    <w:rsid w:val="000F707A"/>
    <w:rsid w:val="00101067"/>
    <w:rsid w:val="001053D2"/>
    <w:rsid w:val="00110AC3"/>
    <w:rsid w:val="001111D4"/>
    <w:rsid w:val="00113696"/>
    <w:rsid w:val="0011777D"/>
    <w:rsid w:val="00117B4F"/>
    <w:rsid w:val="00155822"/>
    <w:rsid w:val="00167440"/>
    <w:rsid w:val="0018535F"/>
    <w:rsid w:val="001A033C"/>
    <w:rsid w:val="001A7EEC"/>
    <w:rsid w:val="001B15A4"/>
    <w:rsid w:val="001B1BB2"/>
    <w:rsid w:val="001B3332"/>
    <w:rsid w:val="001B7186"/>
    <w:rsid w:val="001B7B26"/>
    <w:rsid w:val="001E6258"/>
    <w:rsid w:val="001F330A"/>
    <w:rsid w:val="001F730D"/>
    <w:rsid w:val="00206C5B"/>
    <w:rsid w:val="002169AB"/>
    <w:rsid w:val="0023423E"/>
    <w:rsid w:val="002603D7"/>
    <w:rsid w:val="00261C88"/>
    <w:rsid w:val="00265544"/>
    <w:rsid w:val="00267F72"/>
    <w:rsid w:val="00277DF7"/>
    <w:rsid w:val="00282687"/>
    <w:rsid w:val="00293CED"/>
    <w:rsid w:val="00295581"/>
    <w:rsid w:val="002B68CD"/>
    <w:rsid w:val="002D4281"/>
    <w:rsid w:val="002D4C6A"/>
    <w:rsid w:val="00304D1E"/>
    <w:rsid w:val="00314455"/>
    <w:rsid w:val="00325073"/>
    <w:rsid w:val="00326333"/>
    <w:rsid w:val="00335613"/>
    <w:rsid w:val="00341D66"/>
    <w:rsid w:val="0034405D"/>
    <w:rsid w:val="0034528C"/>
    <w:rsid w:val="00345C6B"/>
    <w:rsid w:val="00360125"/>
    <w:rsid w:val="00364DDF"/>
    <w:rsid w:val="003740F5"/>
    <w:rsid w:val="00377E55"/>
    <w:rsid w:val="00383739"/>
    <w:rsid w:val="003A7BD2"/>
    <w:rsid w:val="003C1BA8"/>
    <w:rsid w:val="003D5334"/>
    <w:rsid w:val="003E0E60"/>
    <w:rsid w:val="003E6EA8"/>
    <w:rsid w:val="003F56DA"/>
    <w:rsid w:val="00404E22"/>
    <w:rsid w:val="0042287E"/>
    <w:rsid w:val="00445928"/>
    <w:rsid w:val="00450668"/>
    <w:rsid w:val="0046778D"/>
    <w:rsid w:val="004939AD"/>
    <w:rsid w:val="00493E50"/>
    <w:rsid w:val="004A584D"/>
    <w:rsid w:val="004D1AF2"/>
    <w:rsid w:val="004D7730"/>
    <w:rsid w:val="004E40AD"/>
    <w:rsid w:val="004F4891"/>
    <w:rsid w:val="00536750"/>
    <w:rsid w:val="00542B7C"/>
    <w:rsid w:val="00551A5E"/>
    <w:rsid w:val="00551E96"/>
    <w:rsid w:val="00557369"/>
    <w:rsid w:val="00574780"/>
    <w:rsid w:val="0058051B"/>
    <w:rsid w:val="0058322B"/>
    <w:rsid w:val="005862F9"/>
    <w:rsid w:val="00587469"/>
    <w:rsid w:val="005B0031"/>
    <w:rsid w:val="005B06EE"/>
    <w:rsid w:val="005B7CD7"/>
    <w:rsid w:val="005C6630"/>
    <w:rsid w:val="005E050F"/>
    <w:rsid w:val="005E158C"/>
    <w:rsid w:val="005E3DE6"/>
    <w:rsid w:val="005F7F1D"/>
    <w:rsid w:val="006216BA"/>
    <w:rsid w:val="00636BF3"/>
    <w:rsid w:val="006406F9"/>
    <w:rsid w:val="00651DD6"/>
    <w:rsid w:val="00675797"/>
    <w:rsid w:val="006A6AD4"/>
    <w:rsid w:val="006B560C"/>
    <w:rsid w:val="006B5B9F"/>
    <w:rsid w:val="006C712C"/>
    <w:rsid w:val="006D10BC"/>
    <w:rsid w:val="006D68DA"/>
    <w:rsid w:val="006E2B88"/>
    <w:rsid w:val="006F4045"/>
    <w:rsid w:val="006F452E"/>
    <w:rsid w:val="006F5F68"/>
    <w:rsid w:val="0070253D"/>
    <w:rsid w:val="00703A64"/>
    <w:rsid w:val="00706FA2"/>
    <w:rsid w:val="007167FA"/>
    <w:rsid w:val="00722009"/>
    <w:rsid w:val="0074353E"/>
    <w:rsid w:val="00762220"/>
    <w:rsid w:val="00763EA4"/>
    <w:rsid w:val="00771D49"/>
    <w:rsid w:val="007A3C8B"/>
    <w:rsid w:val="007A6B71"/>
    <w:rsid w:val="007A7AC2"/>
    <w:rsid w:val="007B2C83"/>
    <w:rsid w:val="007C3279"/>
    <w:rsid w:val="007C6E4D"/>
    <w:rsid w:val="007E5F17"/>
    <w:rsid w:val="007E6DC9"/>
    <w:rsid w:val="007F0AA2"/>
    <w:rsid w:val="008110BA"/>
    <w:rsid w:val="008118D1"/>
    <w:rsid w:val="0083242A"/>
    <w:rsid w:val="00833D3E"/>
    <w:rsid w:val="008768E8"/>
    <w:rsid w:val="008859D0"/>
    <w:rsid w:val="008A1053"/>
    <w:rsid w:val="008A541A"/>
    <w:rsid w:val="008B0BFC"/>
    <w:rsid w:val="008D1CC2"/>
    <w:rsid w:val="008D7E81"/>
    <w:rsid w:val="008F5970"/>
    <w:rsid w:val="008F70EB"/>
    <w:rsid w:val="0090211C"/>
    <w:rsid w:val="0090518D"/>
    <w:rsid w:val="00906E92"/>
    <w:rsid w:val="009206B0"/>
    <w:rsid w:val="00936B3A"/>
    <w:rsid w:val="009437B9"/>
    <w:rsid w:val="00947C0F"/>
    <w:rsid w:val="00964BC5"/>
    <w:rsid w:val="00996268"/>
    <w:rsid w:val="009A04CD"/>
    <w:rsid w:val="009B406D"/>
    <w:rsid w:val="009B50AD"/>
    <w:rsid w:val="009D5399"/>
    <w:rsid w:val="009E43D5"/>
    <w:rsid w:val="009E5D88"/>
    <w:rsid w:val="00A00260"/>
    <w:rsid w:val="00A12498"/>
    <w:rsid w:val="00A31069"/>
    <w:rsid w:val="00A47F87"/>
    <w:rsid w:val="00A6759A"/>
    <w:rsid w:val="00AB317C"/>
    <w:rsid w:val="00AB7371"/>
    <w:rsid w:val="00AD5325"/>
    <w:rsid w:val="00AD719C"/>
    <w:rsid w:val="00B0757B"/>
    <w:rsid w:val="00B1057B"/>
    <w:rsid w:val="00B12B40"/>
    <w:rsid w:val="00B13ABA"/>
    <w:rsid w:val="00B3764B"/>
    <w:rsid w:val="00B44004"/>
    <w:rsid w:val="00B67DB0"/>
    <w:rsid w:val="00B80250"/>
    <w:rsid w:val="00B810F9"/>
    <w:rsid w:val="00B92094"/>
    <w:rsid w:val="00B94F2A"/>
    <w:rsid w:val="00BA67D5"/>
    <w:rsid w:val="00BB4C54"/>
    <w:rsid w:val="00BC1832"/>
    <w:rsid w:val="00BD2F07"/>
    <w:rsid w:val="00BE0E15"/>
    <w:rsid w:val="00BE19E3"/>
    <w:rsid w:val="00BF70E6"/>
    <w:rsid w:val="00BF7D50"/>
    <w:rsid w:val="00C01D07"/>
    <w:rsid w:val="00C10E48"/>
    <w:rsid w:val="00C11BE2"/>
    <w:rsid w:val="00C34F20"/>
    <w:rsid w:val="00C358AA"/>
    <w:rsid w:val="00C36C99"/>
    <w:rsid w:val="00C4064E"/>
    <w:rsid w:val="00C43AD3"/>
    <w:rsid w:val="00C44D92"/>
    <w:rsid w:val="00C53338"/>
    <w:rsid w:val="00C578AD"/>
    <w:rsid w:val="00C71FDC"/>
    <w:rsid w:val="00C741C9"/>
    <w:rsid w:val="00C91589"/>
    <w:rsid w:val="00C95692"/>
    <w:rsid w:val="00C957A5"/>
    <w:rsid w:val="00C959C6"/>
    <w:rsid w:val="00CA39E7"/>
    <w:rsid w:val="00CA68DD"/>
    <w:rsid w:val="00CB2FAB"/>
    <w:rsid w:val="00CC4B15"/>
    <w:rsid w:val="00CD1F9E"/>
    <w:rsid w:val="00D01736"/>
    <w:rsid w:val="00D1547E"/>
    <w:rsid w:val="00D17FE1"/>
    <w:rsid w:val="00D50BC9"/>
    <w:rsid w:val="00D61CCF"/>
    <w:rsid w:val="00D805F2"/>
    <w:rsid w:val="00D86B4A"/>
    <w:rsid w:val="00D91068"/>
    <w:rsid w:val="00D949A3"/>
    <w:rsid w:val="00DA512B"/>
    <w:rsid w:val="00DB5915"/>
    <w:rsid w:val="00DB6F12"/>
    <w:rsid w:val="00DD67F0"/>
    <w:rsid w:val="00DF7D79"/>
    <w:rsid w:val="00E012E1"/>
    <w:rsid w:val="00E165A3"/>
    <w:rsid w:val="00E23A93"/>
    <w:rsid w:val="00E26E21"/>
    <w:rsid w:val="00E30F11"/>
    <w:rsid w:val="00E3298C"/>
    <w:rsid w:val="00E418AB"/>
    <w:rsid w:val="00E438F5"/>
    <w:rsid w:val="00E470B7"/>
    <w:rsid w:val="00E4727B"/>
    <w:rsid w:val="00E71A49"/>
    <w:rsid w:val="00E84705"/>
    <w:rsid w:val="00E90A6C"/>
    <w:rsid w:val="00EB34C4"/>
    <w:rsid w:val="00EB4FB5"/>
    <w:rsid w:val="00EB5ABE"/>
    <w:rsid w:val="00EB6852"/>
    <w:rsid w:val="00EC75DA"/>
    <w:rsid w:val="00F033AB"/>
    <w:rsid w:val="00F1554F"/>
    <w:rsid w:val="00F219CD"/>
    <w:rsid w:val="00F26C48"/>
    <w:rsid w:val="00F3028A"/>
    <w:rsid w:val="00F30848"/>
    <w:rsid w:val="00F345F7"/>
    <w:rsid w:val="00F41D7C"/>
    <w:rsid w:val="00F54DDF"/>
    <w:rsid w:val="00F57E56"/>
    <w:rsid w:val="00F6030D"/>
    <w:rsid w:val="00F62838"/>
    <w:rsid w:val="00F65C58"/>
    <w:rsid w:val="00F66295"/>
    <w:rsid w:val="00F73EB5"/>
    <w:rsid w:val="00FB4133"/>
    <w:rsid w:val="00FB4CBA"/>
    <w:rsid w:val="00FC5B36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5506489"/>
  <w15:docId w15:val="{1D6D8AA0-0BF1-4731-AD72-6A68C2B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customStyle="1" w:styleId="zzmpTrailerItem">
    <w:name w:val="zzmpTrailerItem"/>
    <w:rsid w:val="004A584D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4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27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27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B76F-502E-4031-803F-A07AD76EBC5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A61BF-E2BB-4631-9688-AA3E01E0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20A36-5429-4BEB-A02C-02D6F8BF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Oconnor, Krista</dc:creator>
  <cp:lastModifiedBy>Schreier, Sandy</cp:lastModifiedBy>
  <cp:revision>2</cp:revision>
  <cp:lastPrinted>2015-10-20T14:12:00Z</cp:lastPrinted>
  <dcterms:created xsi:type="dcterms:W3CDTF">2015-11-04T13:26:00Z</dcterms:created>
  <dcterms:modified xsi:type="dcterms:W3CDTF">2015-11-04T13:26:00Z</dcterms:modified>
</cp:coreProperties>
</file>