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48E15" w14:textId="77777777" w:rsidR="00F94471" w:rsidRPr="00CC27F5" w:rsidRDefault="00F94471" w:rsidP="00CC27F5">
      <w:pPr>
        <w:pStyle w:val="Heading2"/>
        <w:rPr>
          <w:rStyle w:val="SubtleEmphasis"/>
        </w:rPr>
      </w:pPr>
      <w:bookmarkStart w:id="0" w:name="_GoBack"/>
      <w:bookmarkEnd w:id="0"/>
      <w:r w:rsidRPr="00F735F5">
        <w:t>Medical Assistance</w:t>
      </w:r>
      <w:r w:rsidR="008D0639" w:rsidRPr="00F735F5">
        <w:t xml:space="preserve"> (MA)</w:t>
      </w:r>
    </w:p>
    <w:p w14:paraId="15E48E16" w14:textId="77777777" w:rsidR="00F94471" w:rsidRPr="00F735F5" w:rsidRDefault="00F94471" w:rsidP="00F735F5">
      <w:pPr>
        <w:pStyle w:val="ListParagraph"/>
        <w:numPr>
          <w:ilvl w:val="0"/>
          <w:numId w:val="1"/>
        </w:numPr>
        <w:spacing w:before="240" w:after="240" w:line="360" w:lineRule="auto"/>
        <w:rPr>
          <w:rFonts w:ascii="Franklin Gothic Book" w:hAnsi="Franklin Gothic Book"/>
        </w:rPr>
      </w:pPr>
      <w:r w:rsidRPr="00F735F5">
        <w:rPr>
          <w:rFonts w:ascii="Franklin Gothic Book" w:hAnsi="Franklin Gothic Book"/>
        </w:rPr>
        <w:t xml:space="preserve">What is the percentage of </w:t>
      </w:r>
      <w:r w:rsidR="008D0639" w:rsidRPr="00F735F5">
        <w:rPr>
          <w:rFonts w:ascii="Franklin Gothic Book" w:hAnsi="Franklin Gothic Book"/>
        </w:rPr>
        <w:t>individuals who are “A</w:t>
      </w:r>
      <w:r w:rsidRPr="00F735F5">
        <w:rPr>
          <w:rFonts w:ascii="Franklin Gothic Book" w:hAnsi="Franklin Gothic Book"/>
        </w:rPr>
        <w:t>ged/Blind/Disabled</w:t>
      </w:r>
      <w:r w:rsidR="008D0639" w:rsidRPr="00F735F5">
        <w:rPr>
          <w:rFonts w:ascii="Franklin Gothic Book" w:hAnsi="Franklin Gothic Book"/>
        </w:rPr>
        <w:t>”</w:t>
      </w:r>
      <w:r w:rsidR="00B37F2A" w:rsidRPr="00F735F5">
        <w:rPr>
          <w:rFonts w:ascii="Franklin Gothic Book" w:hAnsi="Franklin Gothic Book"/>
        </w:rPr>
        <w:t xml:space="preserve"> in managed care vs. fee for service in Minnesota</w:t>
      </w:r>
      <w:r w:rsidRPr="00F735F5">
        <w:rPr>
          <w:rFonts w:ascii="Franklin Gothic Book" w:hAnsi="Franklin Gothic Book"/>
        </w:rPr>
        <w:t xml:space="preserve">? </w:t>
      </w:r>
    </w:p>
    <w:p w14:paraId="15E48E17" w14:textId="77777777" w:rsidR="006F74DF" w:rsidRPr="00F735F5" w:rsidRDefault="00BB0104" w:rsidP="00F735F5">
      <w:pPr>
        <w:pStyle w:val="ListParagraph"/>
        <w:numPr>
          <w:ilvl w:val="1"/>
          <w:numId w:val="1"/>
        </w:numPr>
        <w:spacing w:before="240" w:after="240" w:line="360" w:lineRule="auto"/>
        <w:rPr>
          <w:rFonts w:ascii="Franklin Gothic Book" w:hAnsi="Franklin Gothic Book"/>
        </w:rPr>
      </w:pPr>
      <w:r w:rsidRPr="00F735F5">
        <w:rPr>
          <w:rFonts w:ascii="Franklin Gothic Book" w:hAnsi="Franklin Gothic Book"/>
        </w:rPr>
        <w:t>In 2014, a</w:t>
      </w:r>
      <w:r w:rsidR="008D0639" w:rsidRPr="00F735F5">
        <w:rPr>
          <w:rFonts w:ascii="Franklin Gothic Book" w:hAnsi="Franklin Gothic Book"/>
        </w:rPr>
        <w:t xml:space="preserve">mong those eligible for </w:t>
      </w:r>
      <w:r w:rsidR="00B37F2A" w:rsidRPr="00F735F5">
        <w:rPr>
          <w:rFonts w:ascii="Franklin Gothic Book" w:hAnsi="Franklin Gothic Book"/>
        </w:rPr>
        <w:t xml:space="preserve">MA </w:t>
      </w:r>
      <w:r w:rsidRPr="00F735F5">
        <w:rPr>
          <w:rFonts w:ascii="Franklin Gothic Book" w:hAnsi="Franklin Gothic Book"/>
        </w:rPr>
        <w:t xml:space="preserve">under the category of </w:t>
      </w:r>
      <w:r w:rsidR="008D0639" w:rsidRPr="00F735F5">
        <w:rPr>
          <w:rFonts w:ascii="Franklin Gothic Book" w:hAnsi="Franklin Gothic Book"/>
        </w:rPr>
        <w:t>aged (over 65 years old), blind, or disabled</w:t>
      </w:r>
      <w:r w:rsidR="00B37F2A" w:rsidRPr="00F735F5">
        <w:rPr>
          <w:rFonts w:ascii="Franklin Gothic Book" w:hAnsi="Franklin Gothic Book"/>
        </w:rPr>
        <w:t>, about 51</w:t>
      </w:r>
      <w:r w:rsidRPr="00F735F5">
        <w:rPr>
          <w:rFonts w:ascii="Franklin Gothic Book" w:hAnsi="Franklin Gothic Book"/>
        </w:rPr>
        <w:t xml:space="preserve"> </w:t>
      </w:r>
      <w:r w:rsidR="00E7065B" w:rsidRPr="00F735F5">
        <w:rPr>
          <w:rFonts w:ascii="Franklin Gothic Book" w:hAnsi="Franklin Gothic Book"/>
        </w:rPr>
        <w:t>percent</w:t>
      </w:r>
      <w:r w:rsidR="00B37F2A" w:rsidRPr="00F735F5">
        <w:rPr>
          <w:rFonts w:ascii="Franklin Gothic Book" w:hAnsi="Franklin Gothic Book"/>
        </w:rPr>
        <w:t xml:space="preserve"> </w:t>
      </w:r>
      <w:r w:rsidR="008D0639" w:rsidRPr="00F735F5">
        <w:rPr>
          <w:rFonts w:ascii="Franklin Gothic Book" w:hAnsi="Franklin Gothic Book"/>
        </w:rPr>
        <w:t>were</w:t>
      </w:r>
      <w:r w:rsidR="00E7065B" w:rsidRPr="00F735F5">
        <w:rPr>
          <w:rFonts w:ascii="Franklin Gothic Book" w:hAnsi="Franklin Gothic Book"/>
        </w:rPr>
        <w:t xml:space="preserve"> </w:t>
      </w:r>
      <w:r w:rsidR="008D0639" w:rsidRPr="00F735F5">
        <w:rPr>
          <w:rFonts w:ascii="Franklin Gothic Book" w:hAnsi="Franklin Gothic Book"/>
        </w:rPr>
        <w:t xml:space="preserve">covered as </w:t>
      </w:r>
      <w:r w:rsidR="00E7065B" w:rsidRPr="00F735F5">
        <w:rPr>
          <w:rFonts w:ascii="Franklin Gothic Book" w:hAnsi="Franklin Gothic Book"/>
        </w:rPr>
        <w:t xml:space="preserve">fee </w:t>
      </w:r>
      <w:r w:rsidR="008D0639" w:rsidRPr="00F735F5">
        <w:rPr>
          <w:rFonts w:ascii="Franklin Gothic Book" w:hAnsi="Franklin Gothic Book"/>
        </w:rPr>
        <w:t>for service and 49 percent wer</w:t>
      </w:r>
      <w:r w:rsidR="00E7065B" w:rsidRPr="00F735F5">
        <w:rPr>
          <w:rFonts w:ascii="Franklin Gothic Book" w:hAnsi="Franklin Gothic Book"/>
        </w:rPr>
        <w:t>e served by managed care organizations.  </w:t>
      </w:r>
    </w:p>
    <w:p w14:paraId="15E48E18" w14:textId="77777777" w:rsidR="00F94471" w:rsidRPr="00F735F5" w:rsidRDefault="00B37F2A" w:rsidP="00F735F5">
      <w:pPr>
        <w:pStyle w:val="ListParagraph"/>
        <w:numPr>
          <w:ilvl w:val="0"/>
          <w:numId w:val="1"/>
        </w:numPr>
        <w:spacing w:before="240" w:after="240" w:line="360" w:lineRule="auto"/>
        <w:rPr>
          <w:rFonts w:ascii="Franklin Gothic Book" w:hAnsi="Franklin Gothic Book"/>
        </w:rPr>
      </w:pPr>
      <w:r w:rsidRPr="00F735F5">
        <w:rPr>
          <w:rFonts w:ascii="Franklin Gothic Book" w:hAnsi="Franklin Gothic Book"/>
        </w:rPr>
        <w:t>What maintenance of effort requirement</w:t>
      </w:r>
      <w:r w:rsidR="00F94471" w:rsidRPr="00F735F5">
        <w:rPr>
          <w:rFonts w:ascii="Franklin Gothic Book" w:hAnsi="Franklin Gothic Book"/>
        </w:rPr>
        <w:t xml:space="preserve"> do we have for </w:t>
      </w:r>
      <w:r w:rsidRPr="00F735F5">
        <w:rPr>
          <w:rFonts w:ascii="Franklin Gothic Book" w:hAnsi="Franklin Gothic Book"/>
        </w:rPr>
        <w:t xml:space="preserve">MA </w:t>
      </w:r>
      <w:r w:rsidR="00F94471" w:rsidRPr="00F735F5">
        <w:rPr>
          <w:rFonts w:ascii="Franklin Gothic Book" w:hAnsi="Franklin Gothic Book"/>
        </w:rPr>
        <w:t>and when do</w:t>
      </w:r>
      <w:r w:rsidRPr="00F735F5">
        <w:rPr>
          <w:rFonts w:ascii="Franklin Gothic Book" w:hAnsi="Franklin Gothic Book"/>
        </w:rPr>
        <w:t xml:space="preserve">es it </w:t>
      </w:r>
      <w:r w:rsidR="00F94471" w:rsidRPr="00F735F5">
        <w:rPr>
          <w:rFonts w:ascii="Franklin Gothic Book" w:hAnsi="Franklin Gothic Book"/>
        </w:rPr>
        <w:t>expire?</w:t>
      </w:r>
    </w:p>
    <w:p w14:paraId="15E48E19" w14:textId="77777777" w:rsidR="00A17483" w:rsidRPr="00F735F5" w:rsidRDefault="008D0639" w:rsidP="00F735F5">
      <w:pPr>
        <w:spacing w:before="240" w:after="240" w:line="360" w:lineRule="auto"/>
        <w:ind w:left="1440"/>
        <w:rPr>
          <w:rFonts w:ascii="Franklin Gothic Book" w:hAnsi="Franklin Gothic Book"/>
          <w:color w:val="44546A"/>
        </w:rPr>
      </w:pPr>
      <w:r w:rsidRPr="00F735F5">
        <w:rPr>
          <w:rFonts w:ascii="Franklin Gothic Book" w:hAnsi="Franklin Gothic Book"/>
        </w:rPr>
        <w:t>The Affordable Care Act (ACA)</w:t>
      </w:r>
      <w:r w:rsidR="006F74DF" w:rsidRPr="00F735F5">
        <w:rPr>
          <w:rFonts w:ascii="Franklin Gothic Book" w:hAnsi="Franklin Gothic Book"/>
        </w:rPr>
        <w:t xml:space="preserve"> requires the state to maintain MA &amp; CHIP income levels for children under </w:t>
      </w:r>
      <w:r w:rsidRPr="00F735F5">
        <w:rPr>
          <w:rFonts w:ascii="Franklin Gothic Book" w:hAnsi="Franklin Gothic Book"/>
        </w:rPr>
        <w:t xml:space="preserve">age </w:t>
      </w:r>
      <w:r w:rsidR="006F74DF" w:rsidRPr="00F735F5">
        <w:rPr>
          <w:rFonts w:ascii="Franklin Gothic Book" w:hAnsi="Franklin Gothic Book"/>
        </w:rPr>
        <w:t xml:space="preserve">19 through Sept. </w:t>
      </w:r>
      <w:r w:rsidRPr="00F735F5">
        <w:rPr>
          <w:rFonts w:ascii="Franklin Gothic Book" w:hAnsi="Franklin Gothic Book"/>
        </w:rPr>
        <w:t xml:space="preserve">of </w:t>
      </w:r>
      <w:r w:rsidR="00BB0104" w:rsidRPr="00F735F5">
        <w:rPr>
          <w:rFonts w:ascii="Franklin Gothic Book" w:hAnsi="Franklin Gothic Book"/>
        </w:rPr>
        <w:t xml:space="preserve">2019. </w:t>
      </w:r>
      <w:r w:rsidR="006E1ECB" w:rsidRPr="00F735F5">
        <w:rPr>
          <w:rFonts w:ascii="Franklin Gothic Book" w:hAnsi="Franklin Gothic Book"/>
        </w:rPr>
        <w:t>A maintenance of effort also applies as a condition of CHIP funding. The state must maintain Medicaid income levels for children under age 19 and for pregnant women that were in effect on June 1, 1997 (including income levels under section 1115 waivers).</w:t>
      </w:r>
      <w:r w:rsidR="006E1ECB" w:rsidRPr="00F735F5">
        <w:rPr>
          <w:rFonts w:ascii="Franklin Gothic Book" w:hAnsi="Franklin Gothic Book"/>
          <w:color w:val="44546A"/>
        </w:rPr>
        <w:t xml:space="preserve">  </w:t>
      </w:r>
    </w:p>
    <w:p w14:paraId="15E48E1A" w14:textId="77777777" w:rsidR="00EA24C5" w:rsidRPr="00F735F5" w:rsidRDefault="00EA24C5" w:rsidP="00F735F5">
      <w:pPr>
        <w:pStyle w:val="ListParagraph"/>
        <w:numPr>
          <w:ilvl w:val="0"/>
          <w:numId w:val="1"/>
        </w:numPr>
        <w:spacing w:before="240" w:after="240" w:line="360" w:lineRule="auto"/>
        <w:rPr>
          <w:rFonts w:ascii="Franklin Gothic Book" w:hAnsi="Franklin Gothic Book"/>
        </w:rPr>
      </w:pPr>
      <w:r w:rsidRPr="00F735F5">
        <w:rPr>
          <w:rFonts w:ascii="Franklin Gothic Book" w:hAnsi="Franklin Gothic Book"/>
        </w:rPr>
        <w:t xml:space="preserve">What is the financial exposure of the state </w:t>
      </w:r>
      <w:r w:rsidR="00B06B1C" w:rsidRPr="00F735F5">
        <w:rPr>
          <w:rFonts w:ascii="Franklin Gothic Book" w:hAnsi="Franklin Gothic Book"/>
        </w:rPr>
        <w:t>when we go from 100% FMAP to 90% FMAP</w:t>
      </w:r>
      <w:r w:rsidRPr="00F735F5">
        <w:rPr>
          <w:rFonts w:ascii="Franklin Gothic Book" w:hAnsi="Franklin Gothic Book"/>
        </w:rPr>
        <w:t xml:space="preserve"> in the MA expansion group?</w:t>
      </w:r>
    </w:p>
    <w:p w14:paraId="15E48E1B" w14:textId="77777777" w:rsidR="00EA24C5" w:rsidRPr="00F735F5" w:rsidRDefault="00B06B1C" w:rsidP="00F735F5">
      <w:pPr>
        <w:pStyle w:val="ListParagraph"/>
        <w:numPr>
          <w:ilvl w:val="1"/>
          <w:numId w:val="10"/>
        </w:numPr>
        <w:spacing w:before="240" w:after="240" w:line="360" w:lineRule="auto"/>
        <w:rPr>
          <w:rFonts w:ascii="Franklin Gothic Book" w:hAnsi="Franklin Gothic Book"/>
        </w:rPr>
      </w:pPr>
      <w:r w:rsidRPr="00F735F5">
        <w:rPr>
          <w:rFonts w:ascii="Franklin Gothic Book" w:hAnsi="Franklin Gothic Book"/>
          <w:shd w:val="clear" w:color="auto" w:fill="FFFFFF"/>
        </w:rPr>
        <w:t>The federal share of MA e</w:t>
      </w:r>
      <w:r w:rsidR="00EA24C5" w:rsidRPr="00F735F5">
        <w:rPr>
          <w:rFonts w:ascii="Franklin Gothic Book" w:hAnsi="Franklin Gothic Book"/>
          <w:shd w:val="clear" w:color="auto" w:fill="FFFFFF"/>
        </w:rPr>
        <w:t xml:space="preserve">xpansion costs goes from 100% to 95% in CY 2017, 94% in CY 2018, 93% in CY 2019, and 90% in CY 2020 and beyond. The chart below shows the projected federal and state share for the MA expansion population by fiscal year from the current forecast. </w:t>
      </w:r>
    </w:p>
    <w:tbl>
      <w:tblPr>
        <w:tblW w:w="3476" w:type="pct"/>
        <w:jc w:val="center"/>
        <w:tblCellMar>
          <w:left w:w="0" w:type="dxa"/>
          <w:right w:w="0" w:type="dxa"/>
        </w:tblCellMar>
        <w:tblLook w:val="04A0" w:firstRow="1" w:lastRow="0" w:firstColumn="1" w:lastColumn="0" w:noHBand="0" w:noVBand="1"/>
      </w:tblPr>
      <w:tblGrid>
        <w:gridCol w:w="546"/>
        <w:gridCol w:w="1562"/>
        <w:gridCol w:w="1574"/>
        <w:gridCol w:w="1367"/>
        <w:gridCol w:w="1444"/>
      </w:tblGrid>
      <w:tr w:rsidR="00EA24C5" w:rsidRPr="00F735F5" w14:paraId="15E48E1E" w14:textId="77777777" w:rsidTr="00F735F5">
        <w:trPr>
          <w:trHeight w:val="449"/>
          <w:jc w:val="center"/>
        </w:trPr>
        <w:tc>
          <w:tcPr>
            <w:tcW w:w="5000" w:type="pct"/>
            <w:gridSpan w:val="5"/>
            <w:tcBorders>
              <w:top w:val="single" w:sz="8" w:space="0" w:color="auto"/>
              <w:left w:val="single" w:sz="8" w:space="0" w:color="auto"/>
              <w:bottom w:val="single" w:sz="8" w:space="0" w:color="auto"/>
              <w:right w:val="single" w:sz="8" w:space="0" w:color="000000"/>
            </w:tcBorders>
            <w:shd w:val="clear" w:color="auto" w:fill="D0CECE"/>
          </w:tcPr>
          <w:p w14:paraId="15E48E1C" w14:textId="77777777" w:rsidR="00EA24C5" w:rsidRPr="00F735F5" w:rsidRDefault="00EA24C5" w:rsidP="00F735F5">
            <w:pPr>
              <w:spacing w:after="0" w:line="240" w:lineRule="auto"/>
              <w:jc w:val="center"/>
              <w:rPr>
                <w:rFonts w:ascii="Franklin Gothic Book" w:hAnsi="Franklin Gothic Book"/>
                <w:b/>
                <w:bCs/>
                <w:color w:val="000000"/>
              </w:rPr>
            </w:pPr>
            <w:r w:rsidRPr="00F735F5">
              <w:rPr>
                <w:rFonts w:ascii="Franklin Gothic Book" w:hAnsi="Franklin Gothic Book"/>
                <w:b/>
                <w:bCs/>
                <w:color w:val="000000"/>
              </w:rPr>
              <w:t>Medical Assistance Expansion Population</w:t>
            </w:r>
          </w:p>
          <w:p w14:paraId="15E48E1D" w14:textId="77777777" w:rsidR="00EA24C5" w:rsidRPr="00F735F5" w:rsidRDefault="00EA24C5" w:rsidP="00F735F5">
            <w:pPr>
              <w:spacing w:after="0" w:line="240" w:lineRule="auto"/>
              <w:jc w:val="center"/>
              <w:rPr>
                <w:rFonts w:ascii="Franklin Gothic Book" w:hAnsi="Franklin Gothic Book"/>
                <w:b/>
                <w:bCs/>
                <w:color w:val="000000"/>
              </w:rPr>
            </w:pPr>
            <w:r w:rsidRPr="00F735F5">
              <w:rPr>
                <w:rFonts w:ascii="Franklin Gothic Book" w:hAnsi="Franklin Gothic Book"/>
                <w:b/>
                <w:bCs/>
                <w:color w:val="000000"/>
              </w:rPr>
              <w:t>February 2015 Forecast Projections (in millions)</w:t>
            </w:r>
          </w:p>
        </w:tc>
      </w:tr>
      <w:tr w:rsidR="00EA24C5" w:rsidRPr="00F735F5" w14:paraId="15E48E24" w14:textId="77777777" w:rsidTr="00F735F5">
        <w:trPr>
          <w:trHeight w:val="207"/>
          <w:jc w:val="center"/>
        </w:trPr>
        <w:tc>
          <w:tcPr>
            <w:tcW w:w="420" w:type="pct"/>
            <w:tcBorders>
              <w:top w:val="single" w:sz="4" w:space="0" w:color="auto"/>
              <w:left w:val="single" w:sz="4" w:space="0" w:color="auto"/>
              <w:bottom w:val="single" w:sz="4" w:space="0" w:color="auto"/>
              <w:right w:val="single" w:sz="4" w:space="0" w:color="auto"/>
            </w:tcBorders>
          </w:tcPr>
          <w:p w14:paraId="15E48E1F" w14:textId="77777777" w:rsidR="00EA24C5" w:rsidRPr="00F735F5" w:rsidRDefault="00F735F5" w:rsidP="00BA7E8D">
            <w:pPr>
              <w:spacing w:after="0" w:line="240" w:lineRule="auto"/>
              <w:jc w:val="center"/>
              <w:rPr>
                <w:rFonts w:ascii="Franklin Gothic Book" w:hAnsi="Franklin Gothic Book"/>
                <w:b/>
                <w:color w:val="000000"/>
              </w:rPr>
            </w:pPr>
            <w:r>
              <w:rPr>
                <w:rFonts w:ascii="Franklin Gothic Book" w:hAnsi="Franklin Gothic Book"/>
                <w:b/>
                <w:color w:val="000000"/>
              </w:rPr>
              <w:t>FY</w:t>
            </w:r>
          </w:p>
        </w:tc>
        <w:tc>
          <w:tcPr>
            <w:tcW w:w="1203" w:type="pct"/>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14:paraId="15E48E20" w14:textId="77777777" w:rsidR="00EA24C5" w:rsidRPr="00F735F5" w:rsidRDefault="00EA24C5" w:rsidP="00BA7E8D">
            <w:pPr>
              <w:spacing w:after="0" w:line="240" w:lineRule="auto"/>
              <w:jc w:val="right"/>
              <w:rPr>
                <w:rFonts w:ascii="Franklin Gothic Book" w:hAnsi="Franklin Gothic Book"/>
                <w:b/>
                <w:color w:val="000000"/>
              </w:rPr>
            </w:pPr>
            <w:r w:rsidRPr="00F735F5">
              <w:rPr>
                <w:rFonts w:ascii="Franklin Gothic Book" w:hAnsi="Franklin Gothic Book"/>
                <w:b/>
                <w:color w:val="000000"/>
              </w:rPr>
              <w:t>Projected Cost</w:t>
            </w:r>
          </w:p>
        </w:tc>
        <w:tc>
          <w:tcPr>
            <w:tcW w:w="121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E48E21" w14:textId="77777777" w:rsidR="00EA24C5" w:rsidRPr="00F735F5" w:rsidRDefault="00EA24C5" w:rsidP="00BA7E8D">
            <w:pPr>
              <w:spacing w:after="0" w:line="240" w:lineRule="auto"/>
              <w:jc w:val="right"/>
              <w:rPr>
                <w:rFonts w:ascii="Franklin Gothic Book" w:hAnsi="Franklin Gothic Book"/>
                <w:b/>
                <w:color w:val="000000"/>
              </w:rPr>
            </w:pPr>
            <w:r w:rsidRPr="00F735F5">
              <w:rPr>
                <w:rFonts w:ascii="Franklin Gothic Book" w:hAnsi="Franklin Gothic Book"/>
                <w:b/>
                <w:color w:val="000000"/>
              </w:rPr>
              <w:t xml:space="preserve"> Federal Share </w:t>
            </w:r>
          </w:p>
        </w:tc>
        <w:tc>
          <w:tcPr>
            <w:tcW w:w="105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E48E22" w14:textId="77777777" w:rsidR="00EA24C5" w:rsidRPr="00F735F5" w:rsidRDefault="00EA24C5" w:rsidP="00BA7E8D">
            <w:pPr>
              <w:spacing w:after="0" w:line="240" w:lineRule="auto"/>
              <w:jc w:val="right"/>
              <w:rPr>
                <w:rFonts w:ascii="Franklin Gothic Book" w:hAnsi="Franklin Gothic Book"/>
                <w:b/>
                <w:color w:val="000000"/>
              </w:rPr>
            </w:pPr>
            <w:r w:rsidRPr="00F735F5">
              <w:rPr>
                <w:rFonts w:ascii="Franklin Gothic Book" w:hAnsi="Franklin Gothic Book"/>
                <w:b/>
                <w:color w:val="000000"/>
              </w:rPr>
              <w:t xml:space="preserve"> State Share </w:t>
            </w:r>
          </w:p>
        </w:tc>
        <w:tc>
          <w:tcPr>
            <w:tcW w:w="111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E48E23" w14:textId="77777777" w:rsidR="00EA24C5" w:rsidRPr="00F735F5" w:rsidRDefault="00EA24C5" w:rsidP="00BA7E8D">
            <w:pPr>
              <w:spacing w:after="0" w:line="240" w:lineRule="auto"/>
              <w:jc w:val="right"/>
              <w:rPr>
                <w:rFonts w:ascii="Franklin Gothic Book" w:hAnsi="Franklin Gothic Book"/>
                <w:b/>
                <w:color w:val="000000"/>
              </w:rPr>
            </w:pPr>
            <w:r w:rsidRPr="00F735F5">
              <w:rPr>
                <w:rFonts w:ascii="Franklin Gothic Book" w:hAnsi="Franklin Gothic Book"/>
                <w:b/>
                <w:color w:val="000000"/>
              </w:rPr>
              <w:t xml:space="preserve">FMAP </w:t>
            </w:r>
          </w:p>
        </w:tc>
      </w:tr>
      <w:tr w:rsidR="00EA24C5" w:rsidRPr="00F735F5" w14:paraId="15E48E2A" w14:textId="77777777" w:rsidTr="00F735F5">
        <w:trPr>
          <w:trHeight w:val="247"/>
          <w:jc w:val="center"/>
        </w:trPr>
        <w:tc>
          <w:tcPr>
            <w:tcW w:w="420" w:type="pct"/>
            <w:tcBorders>
              <w:top w:val="single" w:sz="4" w:space="0" w:color="auto"/>
              <w:left w:val="single" w:sz="4" w:space="0" w:color="auto"/>
              <w:bottom w:val="single" w:sz="4" w:space="0" w:color="auto"/>
              <w:right w:val="single" w:sz="4" w:space="0" w:color="auto"/>
            </w:tcBorders>
          </w:tcPr>
          <w:p w14:paraId="15E48E25" w14:textId="77777777" w:rsidR="00EA24C5" w:rsidRPr="00F735F5" w:rsidRDefault="00EA24C5" w:rsidP="00F735F5">
            <w:pPr>
              <w:spacing w:after="0" w:line="240" w:lineRule="auto"/>
              <w:jc w:val="center"/>
              <w:rPr>
                <w:rFonts w:ascii="Franklin Gothic Book" w:hAnsi="Franklin Gothic Book"/>
                <w:color w:val="000000"/>
              </w:rPr>
            </w:pPr>
            <w:r w:rsidRPr="00F735F5">
              <w:rPr>
                <w:rFonts w:ascii="Franklin Gothic Book" w:hAnsi="Franklin Gothic Book"/>
                <w:color w:val="000000"/>
              </w:rPr>
              <w:t>2016</w:t>
            </w:r>
          </w:p>
        </w:tc>
        <w:tc>
          <w:tcPr>
            <w:tcW w:w="1203" w:type="pct"/>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14:paraId="15E48E26" w14:textId="77777777" w:rsidR="00EA24C5" w:rsidRPr="00F735F5" w:rsidRDefault="00EA24C5" w:rsidP="00F735F5">
            <w:pPr>
              <w:spacing w:after="0" w:line="240" w:lineRule="auto"/>
              <w:jc w:val="right"/>
              <w:rPr>
                <w:rFonts w:ascii="Franklin Gothic Book" w:hAnsi="Franklin Gothic Book"/>
                <w:color w:val="000000"/>
              </w:rPr>
            </w:pPr>
            <w:r w:rsidRPr="00F735F5">
              <w:rPr>
                <w:rFonts w:ascii="Franklin Gothic Book" w:hAnsi="Franklin Gothic Book"/>
                <w:color w:val="000000"/>
              </w:rPr>
              <w:t>2,187</w:t>
            </w:r>
          </w:p>
        </w:tc>
        <w:tc>
          <w:tcPr>
            <w:tcW w:w="121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E48E27" w14:textId="77777777" w:rsidR="00EA24C5" w:rsidRPr="00F735F5" w:rsidRDefault="00EA24C5" w:rsidP="00F735F5">
            <w:pPr>
              <w:spacing w:after="0" w:line="240" w:lineRule="auto"/>
              <w:jc w:val="right"/>
              <w:rPr>
                <w:rFonts w:ascii="Franklin Gothic Book" w:hAnsi="Franklin Gothic Book"/>
                <w:color w:val="000000"/>
              </w:rPr>
            </w:pPr>
            <w:r w:rsidRPr="00F735F5">
              <w:rPr>
                <w:rFonts w:ascii="Franklin Gothic Book" w:hAnsi="Franklin Gothic Book"/>
                <w:color w:val="000000"/>
              </w:rPr>
              <w:t>2,181</w:t>
            </w:r>
          </w:p>
        </w:tc>
        <w:tc>
          <w:tcPr>
            <w:tcW w:w="105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E48E28" w14:textId="77777777" w:rsidR="00EA24C5" w:rsidRPr="00F735F5" w:rsidRDefault="00EA24C5" w:rsidP="00F735F5">
            <w:pPr>
              <w:spacing w:after="0" w:line="240" w:lineRule="auto"/>
              <w:jc w:val="right"/>
              <w:rPr>
                <w:rFonts w:ascii="Franklin Gothic Book" w:hAnsi="Franklin Gothic Book"/>
                <w:color w:val="000000"/>
              </w:rPr>
            </w:pPr>
            <w:r w:rsidRPr="00F735F5">
              <w:rPr>
                <w:rFonts w:ascii="Franklin Gothic Book" w:hAnsi="Franklin Gothic Book"/>
                <w:color w:val="000000"/>
              </w:rPr>
              <w:t>6</w:t>
            </w:r>
          </w:p>
        </w:tc>
        <w:tc>
          <w:tcPr>
            <w:tcW w:w="111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E48E29" w14:textId="77777777" w:rsidR="00EA24C5" w:rsidRPr="00F735F5" w:rsidRDefault="00EA24C5" w:rsidP="00F735F5">
            <w:pPr>
              <w:spacing w:after="0" w:line="240" w:lineRule="auto"/>
              <w:jc w:val="right"/>
              <w:rPr>
                <w:rFonts w:ascii="Franklin Gothic Book" w:hAnsi="Franklin Gothic Book"/>
                <w:color w:val="000000"/>
              </w:rPr>
            </w:pPr>
            <w:r w:rsidRPr="00F735F5">
              <w:rPr>
                <w:rFonts w:ascii="Franklin Gothic Book" w:hAnsi="Franklin Gothic Book"/>
                <w:color w:val="000000"/>
              </w:rPr>
              <w:t>100.0%</w:t>
            </w:r>
          </w:p>
        </w:tc>
      </w:tr>
      <w:tr w:rsidR="00EA24C5" w:rsidRPr="00F735F5" w14:paraId="15E48E30" w14:textId="77777777" w:rsidTr="00F735F5">
        <w:trPr>
          <w:trHeight w:val="247"/>
          <w:jc w:val="center"/>
        </w:trPr>
        <w:tc>
          <w:tcPr>
            <w:tcW w:w="420" w:type="pct"/>
            <w:tcBorders>
              <w:top w:val="single" w:sz="4" w:space="0" w:color="auto"/>
              <w:left w:val="single" w:sz="4" w:space="0" w:color="auto"/>
              <w:bottom w:val="single" w:sz="4" w:space="0" w:color="auto"/>
              <w:right w:val="single" w:sz="4" w:space="0" w:color="auto"/>
            </w:tcBorders>
          </w:tcPr>
          <w:p w14:paraId="15E48E2B" w14:textId="77777777" w:rsidR="00EA24C5" w:rsidRPr="00F735F5" w:rsidRDefault="00EA24C5" w:rsidP="00F735F5">
            <w:pPr>
              <w:spacing w:after="0" w:line="240" w:lineRule="auto"/>
              <w:jc w:val="center"/>
              <w:rPr>
                <w:rFonts w:ascii="Franklin Gothic Book" w:hAnsi="Franklin Gothic Book"/>
                <w:color w:val="000000"/>
              </w:rPr>
            </w:pPr>
            <w:r w:rsidRPr="00F735F5">
              <w:rPr>
                <w:rFonts w:ascii="Franklin Gothic Book" w:hAnsi="Franklin Gothic Book"/>
                <w:color w:val="000000"/>
              </w:rPr>
              <w:t>2017</w:t>
            </w:r>
          </w:p>
        </w:tc>
        <w:tc>
          <w:tcPr>
            <w:tcW w:w="1203" w:type="pct"/>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14:paraId="15E48E2C" w14:textId="77777777" w:rsidR="00EA24C5" w:rsidRPr="00F735F5" w:rsidRDefault="00EA24C5" w:rsidP="00F735F5">
            <w:pPr>
              <w:spacing w:after="0" w:line="240" w:lineRule="auto"/>
              <w:jc w:val="right"/>
              <w:rPr>
                <w:rFonts w:ascii="Franklin Gothic Book" w:hAnsi="Franklin Gothic Book"/>
                <w:color w:val="000000"/>
              </w:rPr>
            </w:pPr>
            <w:r w:rsidRPr="00F735F5">
              <w:rPr>
                <w:rFonts w:ascii="Franklin Gothic Book" w:hAnsi="Franklin Gothic Book"/>
                <w:color w:val="000000"/>
              </w:rPr>
              <w:t>2,106</w:t>
            </w:r>
          </w:p>
        </w:tc>
        <w:tc>
          <w:tcPr>
            <w:tcW w:w="121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E48E2D" w14:textId="77777777" w:rsidR="00EA24C5" w:rsidRPr="00F735F5" w:rsidRDefault="00EA24C5" w:rsidP="00F735F5">
            <w:pPr>
              <w:spacing w:after="0" w:line="240" w:lineRule="auto"/>
              <w:jc w:val="right"/>
              <w:rPr>
                <w:rFonts w:ascii="Franklin Gothic Book" w:hAnsi="Franklin Gothic Book"/>
                <w:color w:val="000000"/>
              </w:rPr>
            </w:pPr>
            <w:r w:rsidRPr="00F735F5">
              <w:rPr>
                <w:rFonts w:ascii="Franklin Gothic Book" w:hAnsi="Franklin Gothic Book"/>
                <w:color w:val="000000"/>
              </w:rPr>
              <w:t>2,048</w:t>
            </w:r>
          </w:p>
        </w:tc>
        <w:tc>
          <w:tcPr>
            <w:tcW w:w="105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E48E2E" w14:textId="77777777" w:rsidR="00EA24C5" w:rsidRPr="00F735F5" w:rsidRDefault="00EA24C5" w:rsidP="00F735F5">
            <w:pPr>
              <w:spacing w:after="0" w:line="240" w:lineRule="auto"/>
              <w:jc w:val="right"/>
              <w:rPr>
                <w:rFonts w:ascii="Franklin Gothic Book" w:hAnsi="Franklin Gothic Book"/>
                <w:color w:val="000000"/>
              </w:rPr>
            </w:pPr>
            <w:r w:rsidRPr="00F735F5">
              <w:rPr>
                <w:rFonts w:ascii="Franklin Gothic Book" w:hAnsi="Franklin Gothic Book"/>
                <w:color w:val="000000"/>
              </w:rPr>
              <w:t>57</w:t>
            </w:r>
          </w:p>
        </w:tc>
        <w:tc>
          <w:tcPr>
            <w:tcW w:w="111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E48E2F" w14:textId="77777777" w:rsidR="00EA24C5" w:rsidRPr="00F735F5" w:rsidRDefault="00EA24C5" w:rsidP="00F735F5">
            <w:pPr>
              <w:spacing w:after="0" w:line="240" w:lineRule="auto"/>
              <w:jc w:val="right"/>
              <w:rPr>
                <w:rFonts w:ascii="Franklin Gothic Book" w:hAnsi="Franklin Gothic Book"/>
                <w:color w:val="000000"/>
              </w:rPr>
            </w:pPr>
            <w:r w:rsidRPr="00F735F5">
              <w:rPr>
                <w:rFonts w:ascii="Franklin Gothic Book" w:hAnsi="Franklin Gothic Book"/>
                <w:color w:val="000000"/>
              </w:rPr>
              <w:t>97.5%</w:t>
            </w:r>
          </w:p>
        </w:tc>
      </w:tr>
      <w:tr w:rsidR="00EA24C5" w:rsidRPr="00F735F5" w14:paraId="15E48E36" w14:textId="77777777" w:rsidTr="00F735F5">
        <w:trPr>
          <w:trHeight w:val="247"/>
          <w:jc w:val="center"/>
        </w:trPr>
        <w:tc>
          <w:tcPr>
            <w:tcW w:w="420" w:type="pct"/>
            <w:tcBorders>
              <w:top w:val="single" w:sz="4" w:space="0" w:color="auto"/>
              <w:left w:val="single" w:sz="4" w:space="0" w:color="auto"/>
              <w:bottom w:val="single" w:sz="4" w:space="0" w:color="auto"/>
              <w:right w:val="single" w:sz="4" w:space="0" w:color="auto"/>
            </w:tcBorders>
          </w:tcPr>
          <w:p w14:paraId="15E48E31" w14:textId="77777777" w:rsidR="00EA24C5" w:rsidRPr="00F735F5" w:rsidRDefault="00EA24C5" w:rsidP="00F735F5">
            <w:pPr>
              <w:spacing w:after="0" w:line="240" w:lineRule="auto"/>
              <w:jc w:val="center"/>
              <w:rPr>
                <w:rFonts w:ascii="Franklin Gothic Book" w:hAnsi="Franklin Gothic Book"/>
                <w:color w:val="000000"/>
              </w:rPr>
            </w:pPr>
            <w:r w:rsidRPr="00F735F5">
              <w:rPr>
                <w:rFonts w:ascii="Franklin Gothic Book" w:hAnsi="Franklin Gothic Book"/>
                <w:color w:val="000000"/>
              </w:rPr>
              <w:t>2018</w:t>
            </w:r>
          </w:p>
        </w:tc>
        <w:tc>
          <w:tcPr>
            <w:tcW w:w="1203" w:type="pct"/>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14:paraId="15E48E32" w14:textId="77777777" w:rsidR="00EA24C5" w:rsidRPr="00F735F5" w:rsidRDefault="00EA24C5" w:rsidP="00F735F5">
            <w:pPr>
              <w:spacing w:after="0" w:line="240" w:lineRule="auto"/>
              <w:jc w:val="right"/>
              <w:rPr>
                <w:rFonts w:ascii="Franklin Gothic Book" w:hAnsi="Franklin Gothic Book"/>
                <w:color w:val="000000"/>
              </w:rPr>
            </w:pPr>
            <w:r w:rsidRPr="00F735F5">
              <w:rPr>
                <w:rFonts w:ascii="Franklin Gothic Book" w:hAnsi="Franklin Gothic Book"/>
                <w:color w:val="000000"/>
              </w:rPr>
              <w:t>2,138</w:t>
            </w:r>
          </w:p>
        </w:tc>
        <w:tc>
          <w:tcPr>
            <w:tcW w:w="121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E48E33" w14:textId="77777777" w:rsidR="00EA24C5" w:rsidRPr="00F735F5" w:rsidRDefault="00EA24C5" w:rsidP="00F735F5">
            <w:pPr>
              <w:spacing w:after="0" w:line="240" w:lineRule="auto"/>
              <w:jc w:val="right"/>
              <w:rPr>
                <w:rFonts w:ascii="Franklin Gothic Book" w:hAnsi="Franklin Gothic Book"/>
                <w:color w:val="000000"/>
              </w:rPr>
            </w:pPr>
            <w:r w:rsidRPr="00F735F5">
              <w:rPr>
                <w:rFonts w:ascii="Franklin Gothic Book" w:hAnsi="Franklin Gothic Book"/>
                <w:color w:val="000000"/>
              </w:rPr>
              <w:t>2,015</w:t>
            </w:r>
          </w:p>
        </w:tc>
        <w:tc>
          <w:tcPr>
            <w:tcW w:w="105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E48E34" w14:textId="77777777" w:rsidR="00EA24C5" w:rsidRPr="00F735F5" w:rsidRDefault="00EA24C5" w:rsidP="00F735F5">
            <w:pPr>
              <w:spacing w:after="0" w:line="240" w:lineRule="auto"/>
              <w:jc w:val="right"/>
              <w:rPr>
                <w:rFonts w:ascii="Franklin Gothic Book" w:hAnsi="Franklin Gothic Book"/>
                <w:color w:val="000000"/>
              </w:rPr>
            </w:pPr>
            <w:r w:rsidRPr="00F735F5">
              <w:rPr>
                <w:rFonts w:ascii="Franklin Gothic Book" w:hAnsi="Franklin Gothic Book"/>
                <w:color w:val="000000"/>
              </w:rPr>
              <w:t>120</w:t>
            </w:r>
          </w:p>
        </w:tc>
        <w:tc>
          <w:tcPr>
            <w:tcW w:w="111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E48E35" w14:textId="77777777" w:rsidR="00EA24C5" w:rsidRPr="00F735F5" w:rsidRDefault="00EA24C5" w:rsidP="00F735F5">
            <w:pPr>
              <w:spacing w:after="0" w:line="240" w:lineRule="auto"/>
              <w:jc w:val="right"/>
              <w:rPr>
                <w:rFonts w:ascii="Franklin Gothic Book" w:hAnsi="Franklin Gothic Book"/>
                <w:color w:val="000000"/>
              </w:rPr>
            </w:pPr>
            <w:r w:rsidRPr="00F735F5">
              <w:rPr>
                <w:rFonts w:ascii="Franklin Gothic Book" w:hAnsi="Franklin Gothic Book"/>
                <w:color w:val="000000"/>
              </w:rPr>
              <w:t>94.5%</w:t>
            </w:r>
          </w:p>
        </w:tc>
      </w:tr>
      <w:tr w:rsidR="00EA24C5" w:rsidRPr="00F735F5" w14:paraId="15E48E3C" w14:textId="77777777" w:rsidTr="00F735F5">
        <w:trPr>
          <w:trHeight w:val="247"/>
          <w:jc w:val="center"/>
        </w:trPr>
        <w:tc>
          <w:tcPr>
            <w:tcW w:w="420" w:type="pct"/>
            <w:tcBorders>
              <w:top w:val="single" w:sz="4" w:space="0" w:color="auto"/>
              <w:left w:val="single" w:sz="4" w:space="0" w:color="auto"/>
              <w:bottom w:val="single" w:sz="4" w:space="0" w:color="auto"/>
              <w:right w:val="single" w:sz="4" w:space="0" w:color="auto"/>
            </w:tcBorders>
          </w:tcPr>
          <w:p w14:paraId="15E48E37" w14:textId="77777777" w:rsidR="00EA24C5" w:rsidRPr="00F735F5" w:rsidRDefault="00EA24C5" w:rsidP="00F735F5">
            <w:pPr>
              <w:spacing w:after="0" w:line="240" w:lineRule="auto"/>
              <w:jc w:val="center"/>
              <w:rPr>
                <w:rFonts w:ascii="Franklin Gothic Book" w:hAnsi="Franklin Gothic Book"/>
                <w:color w:val="000000"/>
              </w:rPr>
            </w:pPr>
            <w:r w:rsidRPr="00F735F5">
              <w:rPr>
                <w:rFonts w:ascii="Franklin Gothic Book" w:hAnsi="Franklin Gothic Book"/>
                <w:color w:val="000000"/>
              </w:rPr>
              <w:t>2019</w:t>
            </w:r>
          </w:p>
        </w:tc>
        <w:tc>
          <w:tcPr>
            <w:tcW w:w="1203" w:type="pct"/>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14:paraId="15E48E38" w14:textId="77777777" w:rsidR="00EA24C5" w:rsidRPr="00F735F5" w:rsidRDefault="00EA24C5" w:rsidP="00F735F5">
            <w:pPr>
              <w:spacing w:after="0" w:line="240" w:lineRule="auto"/>
              <w:jc w:val="right"/>
              <w:rPr>
                <w:rFonts w:ascii="Franklin Gothic Book" w:hAnsi="Franklin Gothic Book"/>
                <w:color w:val="000000"/>
              </w:rPr>
            </w:pPr>
            <w:r w:rsidRPr="00F735F5">
              <w:rPr>
                <w:rFonts w:ascii="Franklin Gothic Book" w:hAnsi="Franklin Gothic Book"/>
                <w:color w:val="000000"/>
              </w:rPr>
              <w:t>2,232</w:t>
            </w:r>
          </w:p>
        </w:tc>
        <w:tc>
          <w:tcPr>
            <w:tcW w:w="121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E48E39" w14:textId="77777777" w:rsidR="00EA24C5" w:rsidRPr="00F735F5" w:rsidRDefault="00EA24C5" w:rsidP="00F735F5">
            <w:pPr>
              <w:spacing w:after="0" w:line="240" w:lineRule="auto"/>
              <w:jc w:val="right"/>
              <w:rPr>
                <w:rFonts w:ascii="Franklin Gothic Book" w:hAnsi="Franklin Gothic Book"/>
                <w:color w:val="000000"/>
              </w:rPr>
            </w:pPr>
            <w:r w:rsidRPr="00F735F5">
              <w:rPr>
                <w:rFonts w:ascii="Franklin Gothic Book" w:hAnsi="Franklin Gothic Book"/>
                <w:color w:val="000000"/>
              </w:rPr>
              <w:t>2,082</w:t>
            </w:r>
          </w:p>
        </w:tc>
        <w:tc>
          <w:tcPr>
            <w:tcW w:w="105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E48E3A" w14:textId="77777777" w:rsidR="00EA24C5" w:rsidRPr="00F735F5" w:rsidRDefault="00EA24C5" w:rsidP="00F735F5">
            <w:pPr>
              <w:spacing w:after="0" w:line="240" w:lineRule="auto"/>
              <w:jc w:val="right"/>
              <w:rPr>
                <w:rFonts w:ascii="Franklin Gothic Book" w:hAnsi="Franklin Gothic Book"/>
                <w:color w:val="000000"/>
              </w:rPr>
            </w:pPr>
            <w:r w:rsidRPr="00F735F5">
              <w:rPr>
                <w:rFonts w:ascii="Franklin Gothic Book" w:hAnsi="Franklin Gothic Book"/>
                <w:color w:val="000000"/>
              </w:rPr>
              <w:t>147</w:t>
            </w:r>
          </w:p>
        </w:tc>
        <w:tc>
          <w:tcPr>
            <w:tcW w:w="111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E48E3B" w14:textId="77777777" w:rsidR="00EA24C5" w:rsidRPr="00F735F5" w:rsidRDefault="00EA24C5" w:rsidP="00F735F5">
            <w:pPr>
              <w:spacing w:after="0" w:line="240" w:lineRule="auto"/>
              <w:jc w:val="right"/>
              <w:rPr>
                <w:rFonts w:ascii="Franklin Gothic Book" w:hAnsi="Franklin Gothic Book"/>
                <w:color w:val="000000"/>
              </w:rPr>
            </w:pPr>
            <w:r w:rsidRPr="00F735F5">
              <w:rPr>
                <w:rFonts w:ascii="Franklin Gothic Book" w:hAnsi="Franklin Gothic Book"/>
                <w:color w:val="000000"/>
              </w:rPr>
              <w:t>93.5%</w:t>
            </w:r>
          </w:p>
        </w:tc>
      </w:tr>
    </w:tbl>
    <w:p w14:paraId="15E48E3D" w14:textId="77777777" w:rsidR="00EA24C5" w:rsidRPr="00F735F5" w:rsidRDefault="00EA24C5" w:rsidP="00F735F5">
      <w:pPr>
        <w:spacing w:before="240" w:after="240" w:line="360" w:lineRule="auto"/>
        <w:rPr>
          <w:rFonts w:ascii="Franklin Gothic Book" w:hAnsi="Franklin Gothic Book"/>
        </w:rPr>
      </w:pPr>
    </w:p>
    <w:p w14:paraId="15E48E3E" w14:textId="77777777" w:rsidR="00F735F5" w:rsidRPr="00BA7E8D" w:rsidRDefault="00EA24C5" w:rsidP="00F735F5">
      <w:pPr>
        <w:pStyle w:val="ListParagraph"/>
        <w:numPr>
          <w:ilvl w:val="1"/>
          <w:numId w:val="10"/>
        </w:numPr>
        <w:spacing w:before="240" w:after="240" w:line="360" w:lineRule="auto"/>
        <w:rPr>
          <w:rFonts w:ascii="Franklin Gothic Book" w:hAnsi="Franklin Gothic Book"/>
        </w:rPr>
      </w:pPr>
      <w:r w:rsidRPr="00F735F5">
        <w:rPr>
          <w:rFonts w:ascii="Franklin Gothic Book" w:hAnsi="Franklin Gothic Book"/>
        </w:rPr>
        <w:lastRenderedPageBreak/>
        <w:t xml:space="preserve">As an illustration, if the </w:t>
      </w:r>
      <w:r w:rsidR="00B06B1C" w:rsidRPr="00F735F5">
        <w:rPr>
          <w:rFonts w:ascii="Franklin Gothic Book" w:hAnsi="Franklin Gothic Book"/>
        </w:rPr>
        <w:t xml:space="preserve">projected total costs for the </w:t>
      </w:r>
      <w:r w:rsidRPr="00F735F5">
        <w:rPr>
          <w:rFonts w:ascii="Franklin Gothic Book" w:hAnsi="Franklin Gothic Book"/>
        </w:rPr>
        <w:t>MA expansion</w:t>
      </w:r>
      <w:r w:rsidR="00B06B1C" w:rsidRPr="00F735F5">
        <w:rPr>
          <w:rFonts w:ascii="Franklin Gothic Book" w:hAnsi="Franklin Gothic Book"/>
        </w:rPr>
        <w:t xml:space="preserve"> group of $2.23 billion in FY2019 </w:t>
      </w:r>
      <w:r w:rsidR="00376E29" w:rsidRPr="00F735F5">
        <w:rPr>
          <w:rFonts w:ascii="Franklin Gothic Book" w:hAnsi="Franklin Gothic Book"/>
        </w:rPr>
        <w:t>remain</w:t>
      </w:r>
      <w:r w:rsidR="00B06B1C" w:rsidRPr="00F735F5">
        <w:rPr>
          <w:rFonts w:ascii="Franklin Gothic Book" w:hAnsi="Franklin Gothic Book"/>
        </w:rPr>
        <w:t xml:space="preserve"> the same over</w:t>
      </w:r>
      <w:r w:rsidRPr="00F735F5">
        <w:rPr>
          <w:rFonts w:ascii="Franklin Gothic Book" w:hAnsi="Franklin Gothic Book"/>
        </w:rPr>
        <w:t xml:space="preserve"> the next two fiscal years, the state share would be $190 million in FY2020 (91.5% FMAP) and $223 million (90% FMAP) in FY2021. </w:t>
      </w:r>
    </w:p>
    <w:p w14:paraId="15E48E3F" w14:textId="77777777" w:rsidR="00F94471" w:rsidRPr="00F735F5" w:rsidRDefault="00F94471" w:rsidP="00F735F5">
      <w:pPr>
        <w:spacing w:before="240" w:after="240" w:line="360" w:lineRule="auto"/>
        <w:rPr>
          <w:rFonts w:ascii="Franklin Gothic Book" w:hAnsi="Franklin Gothic Book"/>
          <w:b/>
          <w:sz w:val="28"/>
          <w:szCs w:val="28"/>
        </w:rPr>
      </w:pPr>
      <w:r w:rsidRPr="00F735F5">
        <w:rPr>
          <w:rFonts w:ascii="Franklin Gothic Book" w:hAnsi="Franklin Gothic Book"/>
          <w:b/>
          <w:sz w:val="28"/>
          <w:szCs w:val="28"/>
        </w:rPr>
        <w:t>MinnesotaCare</w:t>
      </w:r>
    </w:p>
    <w:p w14:paraId="15E48E40" w14:textId="77777777" w:rsidR="00F94471" w:rsidRPr="00F735F5" w:rsidRDefault="00F94471" w:rsidP="00F735F5">
      <w:pPr>
        <w:pStyle w:val="ListParagraph"/>
        <w:numPr>
          <w:ilvl w:val="0"/>
          <w:numId w:val="13"/>
        </w:numPr>
        <w:spacing w:before="240" w:after="240" w:line="360" w:lineRule="auto"/>
        <w:rPr>
          <w:rFonts w:ascii="Franklin Gothic Book" w:hAnsi="Franklin Gothic Book"/>
        </w:rPr>
      </w:pPr>
      <w:r w:rsidRPr="00F735F5">
        <w:rPr>
          <w:rFonts w:ascii="Franklin Gothic Book" w:hAnsi="Franklin Gothic Book"/>
        </w:rPr>
        <w:t>Do we have a maintenance of effort requirement for MinnesotaCare?</w:t>
      </w:r>
    </w:p>
    <w:p w14:paraId="15E48E41" w14:textId="77777777" w:rsidR="006F74DF" w:rsidRPr="00F735F5" w:rsidRDefault="006F74DF" w:rsidP="00F735F5">
      <w:pPr>
        <w:pStyle w:val="ListParagraph"/>
        <w:numPr>
          <w:ilvl w:val="0"/>
          <w:numId w:val="14"/>
        </w:numPr>
        <w:spacing w:before="240" w:after="240" w:line="360" w:lineRule="auto"/>
        <w:rPr>
          <w:rFonts w:ascii="Franklin Gothic Book" w:hAnsi="Franklin Gothic Book"/>
        </w:rPr>
      </w:pPr>
      <w:r w:rsidRPr="00F735F5">
        <w:rPr>
          <w:rFonts w:ascii="Franklin Gothic Book" w:hAnsi="Franklin Gothic Book"/>
        </w:rPr>
        <w:t>No.</w:t>
      </w:r>
      <w:r w:rsidR="00A17483" w:rsidRPr="00F735F5">
        <w:rPr>
          <w:rFonts w:ascii="Franklin Gothic Book" w:hAnsi="Franklin Gothic Book"/>
        </w:rPr>
        <w:t xml:space="preserve"> </w:t>
      </w:r>
    </w:p>
    <w:p w14:paraId="15E48E42" w14:textId="77777777" w:rsidR="004A28CB" w:rsidRPr="00F735F5" w:rsidRDefault="004A28CB" w:rsidP="00F735F5">
      <w:pPr>
        <w:pStyle w:val="ListParagraph"/>
        <w:numPr>
          <w:ilvl w:val="0"/>
          <w:numId w:val="13"/>
        </w:numPr>
        <w:spacing w:before="240" w:after="240" w:line="360" w:lineRule="auto"/>
        <w:rPr>
          <w:rFonts w:ascii="Franklin Gothic Book" w:hAnsi="Franklin Gothic Book"/>
        </w:rPr>
      </w:pPr>
      <w:r w:rsidRPr="00F735F5">
        <w:rPr>
          <w:rFonts w:ascii="Franklin Gothic Book" w:hAnsi="Franklin Gothic Book"/>
        </w:rPr>
        <w:t>What</w:t>
      </w:r>
      <w:r w:rsidR="00B06B1C" w:rsidRPr="00F735F5">
        <w:rPr>
          <w:rFonts w:ascii="Franklin Gothic Book" w:hAnsi="Franklin Gothic Book"/>
        </w:rPr>
        <w:t xml:space="preserve"> is the history behind Minnesota’s establishment of a basic health plan</w:t>
      </w:r>
      <w:r w:rsidRPr="00F735F5">
        <w:rPr>
          <w:rFonts w:ascii="Franklin Gothic Book" w:hAnsi="Franklin Gothic Book"/>
        </w:rPr>
        <w:t>?</w:t>
      </w:r>
      <w:r w:rsidR="00F33385" w:rsidRPr="00F735F5">
        <w:rPr>
          <w:rFonts w:ascii="Franklin Gothic Book" w:hAnsi="Franklin Gothic Book"/>
        </w:rPr>
        <w:t xml:space="preserve"> Why di</w:t>
      </w:r>
      <w:r w:rsidR="00EA24C5" w:rsidRPr="00F735F5">
        <w:rPr>
          <w:rFonts w:ascii="Franklin Gothic Book" w:hAnsi="Franklin Gothic Book"/>
        </w:rPr>
        <w:t>d the state</w:t>
      </w:r>
      <w:r w:rsidR="00F33385" w:rsidRPr="00F735F5">
        <w:rPr>
          <w:rFonts w:ascii="Franklin Gothic Book" w:hAnsi="Franklin Gothic Book"/>
        </w:rPr>
        <w:t xml:space="preserve"> not use a section 1115 waiver</w:t>
      </w:r>
      <w:r w:rsidR="00EA24C5" w:rsidRPr="00F735F5">
        <w:rPr>
          <w:rFonts w:ascii="Franklin Gothic Book" w:hAnsi="Franklin Gothic Book"/>
        </w:rPr>
        <w:t xml:space="preserve"> to</w:t>
      </w:r>
      <w:r w:rsidR="00B06B1C" w:rsidRPr="00F735F5">
        <w:rPr>
          <w:rFonts w:ascii="Franklin Gothic Book" w:hAnsi="Franklin Gothic Book"/>
        </w:rPr>
        <w:t xml:space="preserve"> maintain MinnesotaCare</w:t>
      </w:r>
      <w:r w:rsidR="00F33385" w:rsidRPr="00F735F5">
        <w:rPr>
          <w:rFonts w:ascii="Franklin Gothic Book" w:hAnsi="Franklin Gothic Book"/>
        </w:rPr>
        <w:t>?</w:t>
      </w:r>
    </w:p>
    <w:p w14:paraId="15E48E43" w14:textId="77777777" w:rsidR="00F33385" w:rsidRPr="00F735F5" w:rsidRDefault="004A28CB" w:rsidP="00F735F5">
      <w:pPr>
        <w:pStyle w:val="ListParagraph"/>
        <w:numPr>
          <w:ilvl w:val="0"/>
          <w:numId w:val="15"/>
        </w:numPr>
        <w:spacing w:before="240" w:after="240" w:line="360" w:lineRule="auto"/>
        <w:rPr>
          <w:rFonts w:ascii="Franklin Gothic Book" w:hAnsi="Franklin Gothic Book"/>
        </w:rPr>
      </w:pPr>
      <w:r w:rsidRPr="00F735F5">
        <w:rPr>
          <w:rFonts w:ascii="Franklin Gothic Book" w:hAnsi="Franklin Gothic Book"/>
        </w:rPr>
        <w:t xml:space="preserve">In 2011, Governor Dayton appointed the Health Care Reform Task Force to provide recommendations on the implementation of the </w:t>
      </w:r>
      <w:r w:rsidR="007B321B" w:rsidRPr="00F735F5">
        <w:rPr>
          <w:rFonts w:ascii="Franklin Gothic Book" w:hAnsi="Franklin Gothic Book"/>
        </w:rPr>
        <w:t>ACA</w:t>
      </w:r>
      <w:r w:rsidR="00B37F2A" w:rsidRPr="00F735F5">
        <w:rPr>
          <w:rFonts w:ascii="Franklin Gothic Book" w:hAnsi="Franklin Gothic Book"/>
        </w:rPr>
        <w:t xml:space="preserve">. This task force recommended the state provide </w:t>
      </w:r>
      <w:r w:rsidRPr="00F735F5">
        <w:rPr>
          <w:rFonts w:ascii="Franklin Gothic Book" w:hAnsi="Franklin Gothic Book"/>
        </w:rPr>
        <w:t xml:space="preserve">additional supports or </w:t>
      </w:r>
      <w:r w:rsidR="00B37F2A" w:rsidRPr="00F735F5">
        <w:rPr>
          <w:rFonts w:ascii="Franklin Gothic Book" w:hAnsi="Franklin Gothic Book"/>
        </w:rPr>
        <w:t>establish a</w:t>
      </w:r>
      <w:r w:rsidRPr="00F735F5">
        <w:rPr>
          <w:rFonts w:ascii="Franklin Gothic Book" w:hAnsi="Franklin Gothic Book"/>
        </w:rPr>
        <w:t xml:space="preserve"> basic health plan</w:t>
      </w:r>
      <w:r w:rsidR="007B321B" w:rsidRPr="00F735F5">
        <w:rPr>
          <w:rFonts w:ascii="Franklin Gothic Book" w:hAnsi="Franklin Gothic Book"/>
        </w:rPr>
        <w:t xml:space="preserve"> instead of moving the MinnesotaCare population into the </w:t>
      </w:r>
      <w:r w:rsidR="00F33385" w:rsidRPr="00F735F5">
        <w:rPr>
          <w:rFonts w:ascii="Franklin Gothic Book" w:hAnsi="Franklin Gothic Book"/>
        </w:rPr>
        <w:t xml:space="preserve">new </w:t>
      </w:r>
      <w:r w:rsidR="007B321B" w:rsidRPr="00F735F5">
        <w:rPr>
          <w:rFonts w:ascii="Franklin Gothic Book" w:hAnsi="Franklin Gothic Book"/>
        </w:rPr>
        <w:t>exchange</w:t>
      </w:r>
      <w:r w:rsidRPr="00F735F5">
        <w:rPr>
          <w:rFonts w:ascii="Franklin Gothic Book" w:hAnsi="Franklin Gothic Book"/>
        </w:rPr>
        <w:t xml:space="preserve">. </w:t>
      </w:r>
      <w:r w:rsidR="00B37F2A" w:rsidRPr="00F735F5">
        <w:rPr>
          <w:rFonts w:ascii="Franklin Gothic Book" w:hAnsi="Franklin Gothic Book"/>
        </w:rPr>
        <w:t>In 2013, t</w:t>
      </w:r>
      <w:r w:rsidRPr="00F735F5">
        <w:rPr>
          <w:rFonts w:ascii="Franklin Gothic Book" w:hAnsi="Franklin Gothic Book"/>
        </w:rPr>
        <w:t xml:space="preserve">he state legislature passed legislation to convert MinnesotaCare </w:t>
      </w:r>
      <w:r w:rsidR="00F33385" w:rsidRPr="00F735F5">
        <w:rPr>
          <w:rFonts w:ascii="Franklin Gothic Book" w:hAnsi="Franklin Gothic Book"/>
        </w:rPr>
        <w:t xml:space="preserve">from a section 1115 waiver program under Medicaid </w:t>
      </w:r>
      <w:r w:rsidRPr="00F735F5">
        <w:rPr>
          <w:rFonts w:ascii="Franklin Gothic Book" w:hAnsi="Franklin Gothic Book"/>
        </w:rPr>
        <w:t>to a basic health plan</w:t>
      </w:r>
      <w:r w:rsidR="00F33385" w:rsidRPr="00F735F5">
        <w:rPr>
          <w:rFonts w:ascii="Franklin Gothic Book" w:hAnsi="Franklin Gothic Book"/>
        </w:rPr>
        <w:t xml:space="preserve"> under the ACA</w:t>
      </w:r>
      <w:r w:rsidR="00AE7EB5" w:rsidRPr="00F735F5">
        <w:rPr>
          <w:rFonts w:ascii="Franklin Gothic Book" w:hAnsi="Franklin Gothic Book"/>
        </w:rPr>
        <w:t>.</w:t>
      </w:r>
      <w:r w:rsidR="00F33385" w:rsidRPr="00F735F5">
        <w:rPr>
          <w:rFonts w:ascii="Franklin Gothic Book" w:hAnsi="Franklin Gothic Book"/>
        </w:rPr>
        <w:t xml:space="preserve"> </w:t>
      </w:r>
    </w:p>
    <w:p w14:paraId="15E48E44" w14:textId="77777777" w:rsidR="004A28CB" w:rsidRPr="00F735F5" w:rsidRDefault="00F33385" w:rsidP="00F735F5">
      <w:pPr>
        <w:pStyle w:val="ListParagraph"/>
        <w:numPr>
          <w:ilvl w:val="0"/>
          <w:numId w:val="15"/>
        </w:numPr>
        <w:spacing w:before="240" w:after="240" w:line="360" w:lineRule="auto"/>
        <w:rPr>
          <w:rFonts w:ascii="Franklin Gothic Book" w:hAnsi="Franklin Gothic Book"/>
        </w:rPr>
      </w:pPr>
      <w:r w:rsidRPr="00F735F5">
        <w:rPr>
          <w:rFonts w:ascii="Franklin Gothic Book" w:hAnsi="Franklin Gothic Book"/>
        </w:rPr>
        <w:t xml:space="preserve">After </w:t>
      </w:r>
      <w:r w:rsidR="00B06B1C" w:rsidRPr="00F735F5">
        <w:rPr>
          <w:rFonts w:ascii="Franklin Gothic Book" w:hAnsi="Franklin Gothic Book"/>
        </w:rPr>
        <w:t xml:space="preserve">the </w:t>
      </w:r>
      <w:r w:rsidRPr="00F735F5">
        <w:rPr>
          <w:rFonts w:ascii="Franklin Gothic Book" w:hAnsi="Franklin Gothic Book"/>
        </w:rPr>
        <w:t xml:space="preserve">passage of the ACA, </w:t>
      </w:r>
      <w:r w:rsidR="00EA24C5" w:rsidRPr="00F735F5">
        <w:rPr>
          <w:rFonts w:ascii="Franklin Gothic Book" w:hAnsi="Franklin Gothic Book"/>
        </w:rPr>
        <w:t xml:space="preserve">CMS </w:t>
      </w:r>
      <w:r w:rsidRPr="00F735F5">
        <w:rPr>
          <w:rFonts w:ascii="Franklin Gothic Book" w:hAnsi="Franklin Gothic Book"/>
        </w:rPr>
        <w:t>place</w:t>
      </w:r>
      <w:r w:rsidR="00D21667" w:rsidRPr="00F735F5">
        <w:rPr>
          <w:rFonts w:ascii="Franklin Gothic Book" w:hAnsi="Franklin Gothic Book"/>
        </w:rPr>
        <w:t xml:space="preserve">d an auto-expiration date of Dec 31, 2013 on </w:t>
      </w:r>
      <w:r w:rsidRPr="00F735F5">
        <w:rPr>
          <w:rFonts w:ascii="Franklin Gothic Book" w:hAnsi="Franklin Gothic Book"/>
        </w:rPr>
        <w:t>section 1115 waiver</w:t>
      </w:r>
      <w:r w:rsidR="00D21667" w:rsidRPr="00F735F5">
        <w:rPr>
          <w:rFonts w:ascii="Franklin Gothic Book" w:hAnsi="Franklin Gothic Book"/>
        </w:rPr>
        <w:t xml:space="preserve">s, including </w:t>
      </w:r>
      <w:r w:rsidRPr="00F735F5">
        <w:rPr>
          <w:rFonts w:ascii="Franklin Gothic Book" w:hAnsi="Franklin Gothic Book"/>
        </w:rPr>
        <w:t>the MinnesotaCare program</w:t>
      </w:r>
      <w:r w:rsidR="00EA24C5" w:rsidRPr="00F735F5">
        <w:rPr>
          <w:rFonts w:ascii="Franklin Gothic Book" w:hAnsi="Franklin Gothic Book"/>
        </w:rPr>
        <w:t xml:space="preserve"> waiver</w:t>
      </w:r>
      <w:r w:rsidRPr="00F735F5">
        <w:rPr>
          <w:rFonts w:ascii="Franklin Gothic Book" w:hAnsi="Franklin Gothic Book"/>
        </w:rPr>
        <w:t>.</w:t>
      </w:r>
      <w:r w:rsidR="00EA24C5" w:rsidRPr="00F735F5">
        <w:rPr>
          <w:rFonts w:ascii="Franklin Gothic Book" w:hAnsi="Franklin Gothic Book"/>
        </w:rPr>
        <w:t xml:space="preserve"> Since </w:t>
      </w:r>
      <w:r w:rsidR="00B06B1C" w:rsidRPr="00F735F5">
        <w:rPr>
          <w:rFonts w:ascii="Franklin Gothic Book" w:hAnsi="Franklin Gothic Book"/>
        </w:rPr>
        <w:t xml:space="preserve">the establishment of a basic health plan in </w:t>
      </w:r>
      <w:r w:rsidR="00E358F4" w:rsidRPr="00F735F5">
        <w:rPr>
          <w:rFonts w:ascii="Franklin Gothic Book" w:hAnsi="Franklin Gothic Book"/>
        </w:rPr>
        <w:t>Minnesota</w:t>
      </w:r>
      <w:r w:rsidR="00EA24C5" w:rsidRPr="00F735F5">
        <w:rPr>
          <w:rFonts w:ascii="Franklin Gothic Book" w:hAnsi="Franklin Gothic Book"/>
        </w:rPr>
        <w:t xml:space="preserve">, CMS </w:t>
      </w:r>
      <w:r w:rsidR="00B06B1C" w:rsidRPr="00F735F5">
        <w:rPr>
          <w:rFonts w:ascii="Franklin Gothic Book" w:hAnsi="Franklin Gothic Book"/>
        </w:rPr>
        <w:t>has approved several</w:t>
      </w:r>
      <w:r w:rsidR="00D21667" w:rsidRPr="00F735F5">
        <w:rPr>
          <w:rFonts w:ascii="Franklin Gothic Book" w:hAnsi="Franklin Gothic Book"/>
        </w:rPr>
        <w:t xml:space="preserve"> </w:t>
      </w:r>
      <w:r w:rsidR="00B06B1C" w:rsidRPr="00F735F5">
        <w:rPr>
          <w:rFonts w:ascii="Franklin Gothic Book" w:hAnsi="Franklin Gothic Book"/>
        </w:rPr>
        <w:t xml:space="preserve">section </w:t>
      </w:r>
      <w:r w:rsidR="00D21667" w:rsidRPr="00F735F5">
        <w:rPr>
          <w:rFonts w:ascii="Franklin Gothic Book" w:hAnsi="Franklin Gothic Book"/>
        </w:rPr>
        <w:t>1115 waivers</w:t>
      </w:r>
      <w:r w:rsidR="00B06B1C" w:rsidRPr="00F735F5">
        <w:rPr>
          <w:rFonts w:ascii="Franklin Gothic Book" w:hAnsi="Franklin Gothic Book"/>
        </w:rPr>
        <w:t xml:space="preserve"> in other states</w:t>
      </w:r>
      <w:r w:rsidR="00D21667" w:rsidRPr="00F735F5">
        <w:rPr>
          <w:rFonts w:ascii="Franklin Gothic Book" w:hAnsi="Franklin Gothic Book"/>
        </w:rPr>
        <w:t xml:space="preserve">, most of which have been alternatives to the Medicaid expansion option under the ACA. </w:t>
      </w:r>
    </w:p>
    <w:p w14:paraId="15E48E45" w14:textId="77777777" w:rsidR="00F94471" w:rsidRPr="00F735F5" w:rsidRDefault="00F94471" w:rsidP="00F735F5">
      <w:pPr>
        <w:pStyle w:val="ListParagraph"/>
        <w:numPr>
          <w:ilvl w:val="0"/>
          <w:numId w:val="13"/>
        </w:numPr>
        <w:spacing w:before="240" w:after="240" w:line="360" w:lineRule="auto"/>
        <w:rPr>
          <w:rFonts w:ascii="Franklin Gothic Book" w:hAnsi="Franklin Gothic Book"/>
        </w:rPr>
      </w:pPr>
      <w:r w:rsidRPr="00F735F5">
        <w:rPr>
          <w:rFonts w:ascii="Franklin Gothic Book" w:hAnsi="Franklin Gothic Book"/>
        </w:rPr>
        <w:t>What is the attrition (churn?) rate</w:t>
      </w:r>
      <w:r w:rsidR="00CC42E3" w:rsidRPr="00F735F5">
        <w:rPr>
          <w:rFonts w:ascii="Franklin Gothic Book" w:hAnsi="Franklin Gothic Book"/>
        </w:rPr>
        <w:t xml:space="preserve"> since premiums were raised in MinnesotaCare</w:t>
      </w:r>
      <w:r w:rsidRPr="00F735F5">
        <w:rPr>
          <w:rFonts w:ascii="Franklin Gothic Book" w:hAnsi="Franklin Gothic Book"/>
        </w:rPr>
        <w:t xml:space="preserve">? Have we seen more disenrollment or </w:t>
      </w:r>
      <w:r w:rsidR="00CC42E3" w:rsidRPr="00F735F5">
        <w:rPr>
          <w:rFonts w:ascii="Franklin Gothic Book" w:hAnsi="Franklin Gothic Book"/>
        </w:rPr>
        <w:t xml:space="preserve">payment </w:t>
      </w:r>
      <w:r w:rsidRPr="00F735F5">
        <w:rPr>
          <w:rFonts w:ascii="Franklin Gothic Book" w:hAnsi="Franklin Gothic Book"/>
        </w:rPr>
        <w:t xml:space="preserve">non-compliance? </w:t>
      </w:r>
    </w:p>
    <w:p w14:paraId="15E48E46" w14:textId="77777777" w:rsidR="004E2CEC" w:rsidRPr="00F735F5" w:rsidRDefault="004E2CEC" w:rsidP="00F735F5">
      <w:pPr>
        <w:pStyle w:val="ListParagraph"/>
        <w:numPr>
          <w:ilvl w:val="1"/>
          <w:numId w:val="13"/>
        </w:numPr>
        <w:spacing w:before="240" w:after="240" w:line="360" w:lineRule="auto"/>
        <w:rPr>
          <w:rFonts w:ascii="Franklin Gothic Book" w:hAnsi="Franklin Gothic Book"/>
        </w:rPr>
      </w:pPr>
      <w:r w:rsidRPr="00F735F5">
        <w:rPr>
          <w:rFonts w:ascii="Franklin Gothic Book" w:hAnsi="Franklin Gothic Book"/>
        </w:rPr>
        <w:t>It is too early to make reliable assumptions about attrition rates related to increased premiums that went into effect in August.</w:t>
      </w:r>
    </w:p>
    <w:p w14:paraId="15E48E47" w14:textId="77777777" w:rsidR="004E2CEC" w:rsidRPr="00F735F5" w:rsidRDefault="004E2CEC" w:rsidP="00F735F5">
      <w:pPr>
        <w:pStyle w:val="ListParagraph"/>
        <w:numPr>
          <w:ilvl w:val="0"/>
          <w:numId w:val="13"/>
        </w:numPr>
        <w:spacing w:before="240" w:after="240" w:line="360" w:lineRule="auto"/>
        <w:rPr>
          <w:rFonts w:ascii="Franklin Gothic Book" w:hAnsi="Franklin Gothic Book"/>
        </w:rPr>
      </w:pPr>
      <w:r w:rsidRPr="00F735F5">
        <w:rPr>
          <w:rFonts w:ascii="Franklin Gothic Book" w:hAnsi="Franklin Gothic Book"/>
        </w:rPr>
        <w:t xml:space="preserve">Please provide </w:t>
      </w:r>
      <w:r w:rsidR="00BA7E8D">
        <w:rPr>
          <w:rFonts w:ascii="Franklin Gothic Book" w:hAnsi="Franklin Gothic Book"/>
        </w:rPr>
        <w:t xml:space="preserve">some background on the history of </w:t>
      </w:r>
      <w:r w:rsidRPr="00F735F5">
        <w:rPr>
          <w:rFonts w:ascii="Franklin Gothic Book" w:hAnsi="Franklin Gothic Book"/>
        </w:rPr>
        <w:t xml:space="preserve">the </w:t>
      </w:r>
      <w:r w:rsidR="00BA7E8D">
        <w:rPr>
          <w:rFonts w:ascii="Franklin Gothic Book" w:hAnsi="Franklin Gothic Book"/>
        </w:rPr>
        <w:t xml:space="preserve">spending on </w:t>
      </w:r>
      <w:r w:rsidR="00BA7E8D" w:rsidRPr="00F735F5">
        <w:rPr>
          <w:rFonts w:ascii="Franklin Gothic Book" w:hAnsi="Franklin Gothic Book"/>
        </w:rPr>
        <w:t xml:space="preserve">MA </w:t>
      </w:r>
      <w:r w:rsidR="00BA7E8D">
        <w:rPr>
          <w:rFonts w:ascii="Franklin Gothic Book" w:hAnsi="Franklin Gothic Book"/>
        </w:rPr>
        <w:t xml:space="preserve">that comes from the </w:t>
      </w:r>
      <w:r w:rsidRPr="00F735F5">
        <w:rPr>
          <w:rFonts w:ascii="Franklin Gothic Book" w:hAnsi="Franklin Gothic Book"/>
        </w:rPr>
        <w:t xml:space="preserve">Health Care Access Fund </w:t>
      </w:r>
      <w:r w:rsidR="00BA7E8D" w:rsidRPr="00F735F5">
        <w:rPr>
          <w:rFonts w:ascii="Franklin Gothic Book" w:hAnsi="Franklin Gothic Book"/>
        </w:rPr>
        <w:t>(HCAF)</w:t>
      </w:r>
      <w:r w:rsidRPr="00F735F5">
        <w:rPr>
          <w:rFonts w:ascii="Franklin Gothic Book" w:hAnsi="Franklin Gothic Book"/>
        </w:rPr>
        <w:t>.  </w:t>
      </w:r>
    </w:p>
    <w:p w14:paraId="15E48E48" w14:textId="77777777" w:rsidR="004E2CEC" w:rsidRPr="00F735F5" w:rsidRDefault="004E2CEC" w:rsidP="00F735F5">
      <w:pPr>
        <w:pStyle w:val="ListParagraph"/>
        <w:numPr>
          <w:ilvl w:val="1"/>
          <w:numId w:val="13"/>
        </w:numPr>
        <w:spacing w:before="240" w:after="240" w:line="360" w:lineRule="auto"/>
        <w:rPr>
          <w:rFonts w:ascii="Franklin Gothic Book" w:hAnsi="Franklin Gothic Book"/>
        </w:rPr>
      </w:pPr>
      <w:r w:rsidRPr="00F735F5">
        <w:rPr>
          <w:rFonts w:ascii="Franklin Gothic Book" w:hAnsi="Franklin Gothic Book"/>
        </w:rPr>
        <w:t>There are two uses</w:t>
      </w:r>
      <w:r w:rsidR="00710053">
        <w:rPr>
          <w:rFonts w:ascii="Franklin Gothic Book" w:hAnsi="Franklin Gothic Book"/>
        </w:rPr>
        <w:t xml:space="preserve"> related to MA</w:t>
      </w:r>
      <w:r w:rsidR="00BA7E8D">
        <w:rPr>
          <w:rFonts w:ascii="Franklin Gothic Book" w:hAnsi="Franklin Gothic Book"/>
        </w:rPr>
        <w:t xml:space="preserve"> </w:t>
      </w:r>
      <w:r w:rsidRPr="00F735F5">
        <w:rPr>
          <w:rFonts w:ascii="Franklin Gothic Book" w:hAnsi="Franklin Gothic Book"/>
        </w:rPr>
        <w:t xml:space="preserve">in the </w:t>
      </w:r>
      <w:r w:rsidR="00BA7E8D">
        <w:rPr>
          <w:rFonts w:ascii="Franklin Gothic Book" w:hAnsi="Franklin Gothic Book"/>
        </w:rPr>
        <w:t xml:space="preserve">HCAF </w:t>
      </w:r>
      <w:r w:rsidRPr="00F735F5">
        <w:rPr>
          <w:rFonts w:ascii="Franklin Gothic Book" w:hAnsi="Franklin Gothic Book"/>
        </w:rPr>
        <w:t xml:space="preserve">for FY18-19 biennium: </w:t>
      </w:r>
    </w:p>
    <w:p w14:paraId="15E48E49" w14:textId="77777777" w:rsidR="00F735F5" w:rsidRPr="00F735F5" w:rsidRDefault="002D0968" w:rsidP="00F735F5">
      <w:pPr>
        <w:pStyle w:val="ListParagraph"/>
        <w:numPr>
          <w:ilvl w:val="2"/>
          <w:numId w:val="13"/>
        </w:numPr>
        <w:spacing w:before="240" w:after="240" w:line="360" w:lineRule="auto"/>
        <w:rPr>
          <w:rFonts w:ascii="Franklin Gothic Book" w:hAnsi="Franklin Gothic Book"/>
        </w:rPr>
      </w:pPr>
      <w:r>
        <w:rPr>
          <w:rFonts w:ascii="Franklin Gothic Book" w:hAnsi="Franklin Gothic Book"/>
        </w:rPr>
        <w:lastRenderedPageBreak/>
        <w:t xml:space="preserve">The first is an appropriation that pays </w:t>
      </w:r>
      <w:r w:rsidR="004E2CEC" w:rsidRPr="00F735F5">
        <w:rPr>
          <w:rFonts w:ascii="Franklin Gothic Book" w:hAnsi="Franklin Gothic Book"/>
        </w:rPr>
        <w:t xml:space="preserve">for a portion of </w:t>
      </w:r>
      <w:r>
        <w:rPr>
          <w:rFonts w:ascii="Franklin Gothic Book" w:hAnsi="Franklin Gothic Book"/>
        </w:rPr>
        <w:t xml:space="preserve">the costs of </w:t>
      </w:r>
      <w:r w:rsidR="004E2CEC" w:rsidRPr="00F735F5">
        <w:rPr>
          <w:rFonts w:ascii="Franklin Gothic Book" w:hAnsi="Franklin Gothic Book"/>
        </w:rPr>
        <w:t>MA</w:t>
      </w:r>
      <w:r>
        <w:rPr>
          <w:rFonts w:ascii="Franklin Gothic Book" w:hAnsi="Franklin Gothic Book"/>
        </w:rPr>
        <w:t>, which began in 201</w:t>
      </w:r>
      <w:r w:rsidR="00710053">
        <w:rPr>
          <w:rFonts w:ascii="Franklin Gothic Book" w:hAnsi="Franklin Gothic Book"/>
        </w:rPr>
        <w:t>4</w:t>
      </w:r>
      <w:r>
        <w:rPr>
          <w:rFonts w:ascii="Franklin Gothic Book" w:hAnsi="Franklin Gothic Book"/>
        </w:rPr>
        <w:t xml:space="preserve"> and is estimated to be </w:t>
      </w:r>
      <w:r w:rsidR="004E2CEC" w:rsidRPr="00F735F5">
        <w:rPr>
          <w:rFonts w:ascii="Franklin Gothic Book" w:hAnsi="Franklin Gothic Book"/>
        </w:rPr>
        <w:t>$529 million</w:t>
      </w:r>
      <w:r>
        <w:rPr>
          <w:rFonts w:ascii="Franklin Gothic Book" w:hAnsi="Franklin Gothic Book"/>
        </w:rPr>
        <w:t xml:space="preserve"> in FY18-19</w:t>
      </w:r>
      <w:r w:rsidR="00F735F5" w:rsidRPr="00F735F5">
        <w:rPr>
          <w:rFonts w:ascii="Franklin Gothic Book" w:hAnsi="Franklin Gothic Book"/>
        </w:rPr>
        <w:t xml:space="preserve">. </w:t>
      </w:r>
      <w:r>
        <w:rPr>
          <w:rFonts w:ascii="Franklin Gothic Book" w:hAnsi="Franklin Gothic Book"/>
        </w:rPr>
        <w:t xml:space="preserve">The purpose was to pay </w:t>
      </w:r>
      <w:r w:rsidR="00BA7E8D">
        <w:rPr>
          <w:rFonts w:ascii="Franklin Gothic Book" w:hAnsi="Franklin Gothic Book"/>
        </w:rPr>
        <w:t xml:space="preserve">for some of the costs </w:t>
      </w:r>
      <w:r w:rsidR="004E2CEC" w:rsidRPr="00F735F5">
        <w:rPr>
          <w:rFonts w:ascii="Franklin Gothic Book" w:hAnsi="Franklin Gothic Book"/>
        </w:rPr>
        <w:t xml:space="preserve">to the General Fund from </w:t>
      </w:r>
      <w:r w:rsidR="00BA7E8D">
        <w:rPr>
          <w:rFonts w:ascii="Franklin Gothic Book" w:hAnsi="Franklin Gothic Book"/>
        </w:rPr>
        <w:t xml:space="preserve">the </w:t>
      </w:r>
      <w:r w:rsidR="004E2CEC" w:rsidRPr="00F735F5">
        <w:rPr>
          <w:rFonts w:ascii="Franklin Gothic Book" w:hAnsi="Franklin Gothic Book"/>
        </w:rPr>
        <w:t>eligibility realignment and expansion in</w:t>
      </w:r>
      <w:r>
        <w:rPr>
          <w:rFonts w:ascii="Franklin Gothic Book" w:hAnsi="Franklin Gothic Book"/>
        </w:rPr>
        <w:t xml:space="preserve"> MA and MinnesotaCare during the </w:t>
      </w:r>
      <w:r w:rsidR="00BA7E8D">
        <w:rPr>
          <w:rFonts w:ascii="Franklin Gothic Book" w:hAnsi="Franklin Gothic Book"/>
        </w:rPr>
        <w:t>implementation of the ACA</w:t>
      </w:r>
      <w:r w:rsidR="004E2CEC" w:rsidRPr="00F735F5">
        <w:rPr>
          <w:rFonts w:ascii="Franklin Gothic Book" w:hAnsi="Franklin Gothic Book"/>
        </w:rPr>
        <w:t>. The value of this appropriation has</w:t>
      </w:r>
      <w:r w:rsidR="00BA7E8D">
        <w:rPr>
          <w:rFonts w:ascii="Franklin Gothic Book" w:hAnsi="Franklin Gothic Book"/>
        </w:rPr>
        <w:t xml:space="preserve"> been adjusted over time as </w:t>
      </w:r>
      <w:r w:rsidR="004E2CEC" w:rsidRPr="00F735F5">
        <w:rPr>
          <w:rFonts w:ascii="Franklin Gothic Book" w:hAnsi="Franklin Gothic Book"/>
        </w:rPr>
        <w:t xml:space="preserve">available resources </w:t>
      </w:r>
      <w:r>
        <w:rPr>
          <w:rFonts w:ascii="Franklin Gothic Book" w:hAnsi="Franklin Gothic Book"/>
        </w:rPr>
        <w:t xml:space="preserve">in HCAF </w:t>
      </w:r>
      <w:r w:rsidR="004E2CEC" w:rsidRPr="00F735F5">
        <w:rPr>
          <w:rFonts w:ascii="Franklin Gothic Book" w:hAnsi="Franklin Gothic Book"/>
        </w:rPr>
        <w:t xml:space="preserve">have changed. </w:t>
      </w:r>
    </w:p>
    <w:p w14:paraId="15E48E4A" w14:textId="77777777" w:rsidR="004E2CEC" w:rsidRPr="00F735F5" w:rsidRDefault="004E2CEC" w:rsidP="00F735F5">
      <w:pPr>
        <w:pStyle w:val="ListParagraph"/>
        <w:numPr>
          <w:ilvl w:val="2"/>
          <w:numId w:val="13"/>
        </w:numPr>
        <w:spacing w:before="240" w:after="240" w:line="360" w:lineRule="auto"/>
        <w:rPr>
          <w:rFonts w:ascii="Franklin Gothic Book" w:hAnsi="Franklin Gothic Book"/>
        </w:rPr>
      </w:pPr>
      <w:r w:rsidRPr="00F735F5">
        <w:rPr>
          <w:rFonts w:ascii="Franklin Gothic Book" w:hAnsi="Franklin Gothic Book"/>
        </w:rPr>
        <w:t>The second use is a contingent transfer to the General Fund from the</w:t>
      </w:r>
      <w:r w:rsidR="00BA7E8D">
        <w:rPr>
          <w:rFonts w:ascii="Franklin Gothic Book" w:hAnsi="Franklin Gothic Book"/>
        </w:rPr>
        <w:t xml:space="preserve"> HCAF</w:t>
      </w:r>
      <w:r w:rsidRPr="00F735F5">
        <w:rPr>
          <w:rFonts w:ascii="Franklin Gothic Book" w:hAnsi="Franklin Gothic Book"/>
        </w:rPr>
        <w:t xml:space="preserve">. This transfer does not </w:t>
      </w:r>
      <w:r w:rsidR="00BA7E8D">
        <w:rPr>
          <w:rFonts w:ascii="Franklin Gothic Book" w:hAnsi="Franklin Gothic Book"/>
        </w:rPr>
        <w:t xml:space="preserve">directly </w:t>
      </w:r>
      <w:r w:rsidRPr="00F735F5">
        <w:rPr>
          <w:rFonts w:ascii="Franklin Gothic Book" w:hAnsi="Franklin Gothic Book"/>
        </w:rPr>
        <w:t xml:space="preserve">impact </w:t>
      </w:r>
      <w:r w:rsidR="00BA7E8D">
        <w:rPr>
          <w:rFonts w:ascii="Franklin Gothic Book" w:hAnsi="Franklin Gothic Book"/>
        </w:rPr>
        <w:t xml:space="preserve">MA </w:t>
      </w:r>
      <w:r w:rsidRPr="00F735F5">
        <w:rPr>
          <w:rFonts w:ascii="Franklin Gothic Book" w:hAnsi="Franklin Gothic Book"/>
        </w:rPr>
        <w:t>spending across funds, but rather acts a</w:t>
      </w:r>
      <w:r w:rsidR="00BA7E8D">
        <w:rPr>
          <w:rFonts w:ascii="Franklin Gothic Book" w:hAnsi="Franklin Gothic Book"/>
        </w:rPr>
        <w:t>s revenue to the General Fund. </w:t>
      </w:r>
      <w:r w:rsidRPr="00F735F5">
        <w:rPr>
          <w:rFonts w:ascii="Franklin Gothic Book" w:hAnsi="Franklin Gothic Book"/>
        </w:rPr>
        <w:t xml:space="preserve">This transfer originated in 2003 when the provider tax and HMO tax were extended to </w:t>
      </w:r>
      <w:r w:rsidR="002D0968">
        <w:rPr>
          <w:rFonts w:ascii="Franklin Gothic Book" w:hAnsi="Franklin Gothic Book"/>
        </w:rPr>
        <w:t xml:space="preserve">MA </w:t>
      </w:r>
      <w:r w:rsidRPr="00F735F5">
        <w:rPr>
          <w:rFonts w:ascii="Franklin Gothic Book" w:hAnsi="Franklin Gothic Book"/>
        </w:rPr>
        <w:t>enrollees.</w:t>
      </w:r>
    </w:p>
    <w:p w14:paraId="15E48E4B" w14:textId="77777777" w:rsidR="004E2CEC" w:rsidRPr="002D0968" w:rsidRDefault="004E2CEC" w:rsidP="00F735F5">
      <w:pPr>
        <w:pStyle w:val="ListParagraph"/>
        <w:numPr>
          <w:ilvl w:val="1"/>
          <w:numId w:val="13"/>
        </w:numPr>
        <w:spacing w:before="240" w:after="240" w:line="360" w:lineRule="auto"/>
        <w:rPr>
          <w:rFonts w:ascii="Franklin Gothic Book" w:hAnsi="Franklin Gothic Book"/>
        </w:rPr>
      </w:pPr>
      <w:r w:rsidRPr="00F735F5">
        <w:rPr>
          <w:rFonts w:ascii="Franklin Gothic Book" w:hAnsi="Franklin Gothic Book"/>
        </w:rPr>
        <w:t xml:space="preserve">As the figure below illustrates, </w:t>
      </w:r>
      <w:r w:rsidR="002D0968">
        <w:rPr>
          <w:rFonts w:ascii="Franklin Gothic Book" w:hAnsi="Franklin Gothic Book"/>
        </w:rPr>
        <w:t>there is a long</w:t>
      </w:r>
      <w:r w:rsidRPr="00F735F5">
        <w:rPr>
          <w:rFonts w:ascii="Franklin Gothic Book" w:hAnsi="Franklin Gothic Book"/>
        </w:rPr>
        <w:t xml:space="preserve"> history of </w:t>
      </w:r>
      <w:r w:rsidR="002D0968">
        <w:rPr>
          <w:rFonts w:ascii="Franklin Gothic Book" w:hAnsi="Franklin Gothic Book"/>
        </w:rPr>
        <w:t xml:space="preserve">the legislature </w:t>
      </w:r>
      <w:r w:rsidRPr="00F735F5">
        <w:rPr>
          <w:rFonts w:ascii="Franklin Gothic Book" w:hAnsi="Franklin Gothic Book"/>
        </w:rPr>
        <w:t xml:space="preserve">transferring funds from the </w:t>
      </w:r>
      <w:r w:rsidR="002D0968">
        <w:rPr>
          <w:rFonts w:ascii="Franklin Gothic Book" w:hAnsi="Franklin Gothic Book"/>
        </w:rPr>
        <w:t xml:space="preserve">HCAF </w:t>
      </w:r>
      <w:r w:rsidRPr="00F735F5">
        <w:rPr>
          <w:rFonts w:ascii="Franklin Gothic Book" w:hAnsi="Franklin Gothic Book"/>
        </w:rPr>
        <w:t>to the General Fund. These transfers are generally associated with eligibility or benefit changes which increase expenditures for health car</w:t>
      </w:r>
      <w:r w:rsidR="002D0968">
        <w:rPr>
          <w:rFonts w:ascii="Franklin Gothic Book" w:hAnsi="Franklin Gothic Book"/>
        </w:rPr>
        <w:t>e</w:t>
      </w:r>
      <w:r w:rsidR="00AD764E">
        <w:rPr>
          <w:rFonts w:ascii="Franklin Gothic Book" w:hAnsi="Franklin Gothic Book"/>
        </w:rPr>
        <w:t xml:space="preserve"> programs in the General Fund. </w:t>
      </w:r>
      <w:r w:rsidR="00710053">
        <w:rPr>
          <w:rFonts w:ascii="Franklin Gothic Book" w:hAnsi="Franklin Gothic Book"/>
        </w:rPr>
        <w:t xml:space="preserve">However, spending directly for </w:t>
      </w:r>
      <w:r w:rsidR="002D0968">
        <w:rPr>
          <w:rFonts w:ascii="Franklin Gothic Book" w:hAnsi="Franklin Gothic Book"/>
        </w:rPr>
        <w:t xml:space="preserve">MA is a </w:t>
      </w:r>
      <w:r w:rsidR="00710053">
        <w:rPr>
          <w:rFonts w:ascii="Franklin Gothic Book" w:hAnsi="Franklin Gothic Book"/>
        </w:rPr>
        <w:t>relatively new application of HCAF resources</w:t>
      </w:r>
      <w:r w:rsidR="002D0968">
        <w:rPr>
          <w:rFonts w:ascii="Franklin Gothic Book" w:hAnsi="Franklin Gothic Book"/>
        </w:rPr>
        <w:t>.</w:t>
      </w:r>
    </w:p>
    <w:p w14:paraId="15E48E4C" w14:textId="77777777" w:rsidR="004E2CEC" w:rsidRPr="00F735F5" w:rsidRDefault="004E2CEC" w:rsidP="00F735F5">
      <w:pPr>
        <w:spacing w:before="240" w:after="240" w:line="360" w:lineRule="auto"/>
        <w:jc w:val="center"/>
        <w:rPr>
          <w:rFonts w:ascii="Franklin Gothic Book" w:hAnsi="Franklin Gothic Book"/>
        </w:rPr>
      </w:pPr>
      <w:r w:rsidRPr="00F735F5">
        <w:rPr>
          <w:rFonts w:ascii="Franklin Gothic Book" w:hAnsi="Franklin Gothic Book"/>
          <w:noProof/>
        </w:rPr>
        <w:drawing>
          <wp:inline distT="0" distB="0" distL="0" distR="0" wp14:anchorId="15E48E59" wp14:editId="7962369C">
            <wp:extent cx="4260715" cy="2452310"/>
            <wp:effectExtent l="0" t="0" r="6985" b="5715"/>
            <wp:docPr id="5" name="Picture 5" title="health care inter-fund cost sharing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1.png@01D0F6EC.543468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318263" cy="2485433"/>
                    </a:xfrm>
                    <a:prstGeom prst="rect">
                      <a:avLst/>
                    </a:prstGeom>
                    <a:noFill/>
                    <a:ln>
                      <a:noFill/>
                    </a:ln>
                  </pic:spPr>
                </pic:pic>
              </a:graphicData>
            </a:graphic>
          </wp:inline>
        </w:drawing>
      </w:r>
    </w:p>
    <w:p w14:paraId="15E48E4D" w14:textId="77777777" w:rsidR="001E7A2A" w:rsidRDefault="001E7A2A">
      <w:pPr>
        <w:rPr>
          <w:rFonts w:ascii="Franklin Gothic Book" w:hAnsi="Franklin Gothic Book"/>
          <w:b/>
          <w:sz w:val="28"/>
          <w:szCs w:val="28"/>
        </w:rPr>
      </w:pPr>
      <w:r>
        <w:rPr>
          <w:rFonts w:ascii="Franklin Gothic Book" w:hAnsi="Franklin Gothic Book"/>
          <w:b/>
          <w:sz w:val="28"/>
          <w:szCs w:val="28"/>
        </w:rPr>
        <w:br w:type="page"/>
      </w:r>
    </w:p>
    <w:p w14:paraId="15E48E4E" w14:textId="77777777" w:rsidR="003E2C40" w:rsidRPr="00F735F5" w:rsidRDefault="003E2C40" w:rsidP="00F735F5">
      <w:pPr>
        <w:spacing w:before="240" w:after="240" w:line="360" w:lineRule="auto"/>
        <w:rPr>
          <w:rFonts w:ascii="Franklin Gothic Book" w:hAnsi="Franklin Gothic Book"/>
          <w:b/>
          <w:sz w:val="28"/>
          <w:szCs w:val="28"/>
        </w:rPr>
      </w:pPr>
      <w:r w:rsidRPr="00F735F5">
        <w:rPr>
          <w:rFonts w:ascii="Franklin Gothic Book" w:hAnsi="Franklin Gothic Book"/>
          <w:b/>
          <w:sz w:val="28"/>
          <w:szCs w:val="28"/>
        </w:rPr>
        <w:lastRenderedPageBreak/>
        <w:t>Eligibility Rules</w:t>
      </w:r>
    </w:p>
    <w:p w14:paraId="15E48E4F" w14:textId="77777777" w:rsidR="003E2C40" w:rsidRPr="00F735F5" w:rsidRDefault="003E2C40" w:rsidP="00F735F5">
      <w:pPr>
        <w:pStyle w:val="ListParagraph"/>
        <w:numPr>
          <w:ilvl w:val="0"/>
          <w:numId w:val="7"/>
        </w:numPr>
        <w:spacing w:before="240" w:after="240" w:line="360" w:lineRule="auto"/>
        <w:rPr>
          <w:rFonts w:ascii="Franklin Gothic Book" w:hAnsi="Franklin Gothic Book"/>
        </w:rPr>
      </w:pPr>
      <w:r w:rsidRPr="00F735F5">
        <w:rPr>
          <w:rFonts w:ascii="Franklin Gothic Book" w:hAnsi="Franklin Gothic Book"/>
        </w:rPr>
        <w:t>What are the new rules for children receiving health insurance through their parent’s health insurance polic</w:t>
      </w:r>
      <w:r w:rsidR="00D414FF" w:rsidRPr="00F735F5">
        <w:rPr>
          <w:rFonts w:ascii="Franklin Gothic Book" w:hAnsi="Franklin Gothic Book"/>
        </w:rPr>
        <w:t xml:space="preserve">y? </w:t>
      </w:r>
      <w:r w:rsidR="001C5910" w:rsidRPr="00F735F5">
        <w:rPr>
          <w:rFonts w:ascii="Franklin Gothic Book" w:hAnsi="Franklin Gothic Book"/>
        </w:rPr>
        <w:t xml:space="preserve">Why is there coverage </w:t>
      </w:r>
      <w:r w:rsidR="00376E29" w:rsidRPr="00F735F5">
        <w:rPr>
          <w:rFonts w:ascii="Franklin Gothic Book" w:hAnsi="Franklin Gothic Book"/>
        </w:rPr>
        <w:t xml:space="preserve">under MinnesotaCare </w:t>
      </w:r>
      <w:r w:rsidR="001C5910" w:rsidRPr="00F735F5">
        <w:rPr>
          <w:rFonts w:ascii="Franklin Gothic Book" w:hAnsi="Franklin Gothic Book"/>
        </w:rPr>
        <w:t xml:space="preserve">for 19 and </w:t>
      </w:r>
      <w:r w:rsidR="00376E29" w:rsidRPr="00F735F5">
        <w:rPr>
          <w:rFonts w:ascii="Franklin Gothic Book" w:hAnsi="Franklin Gothic Book"/>
        </w:rPr>
        <w:t>20 year</w:t>
      </w:r>
      <w:r w:rsidR="001C5910" w:rsidRPr="00F735F5">
        <w:rPr>
          <w:rFonts w:ascii="Franklin Gothic Book" w:hAnsi="Franklin Gothic Book"/>
        </w:rPr>
        <w:t xml:space="preserve"> old</w:t>
      </w:r>
      <w:r w:rsidR="00376E29" w:rsidRPr="00F735F5">
        <w:rPr>
          <w:rFonts w:ascii="Franklin Gothic Book" w:hAnsi="Franklin Gothic Book"/>
        </w:rPr>
        <w:t>s</w:t>
      </w:r>
      <w:r w:rsidR="001C5910" w:rsidRPr="00F735F5">
        <w:rPr>
          <w:rFonts w:ascii="Franklin Gothic Book" w:hAnsi="Franklin Gothic Book"/>
        </w:rPr>
        <w:t xml:space="preserve"> </w:t>
      </w:r>
      <w:r w:rsidR="00376E29" w:rsidRPr="00F735F5">
        <w:rPr>
          <w:rFonts w:ascii="Franklin Gothic Book" w:hAnsi="Franklin Gothic Book"/>
        </w:rPr>
        <w:t>who fall within the income range of 133% FPL to 200% FPL</w:t>
      </w:r>
      <w:r w:rsidR="001C5910" w:rsidRPr="00F735F5">
        <w:rPr>
          <w:rFonts w:ascii="Franklin Gothic Book" w:hAnsi="Franklin Gothic Book"/>
        </w:rPr>
        <w:t>?</w:t>
      </w:r>
    </w:p>
    <w:p w14:paraId="15E48E50" w14:textId="77777777" w:rsidR="00D414FF" w:rsidRPr="00F735F5" w:rsidRDefault="003835F7" w:rsidP="00F735F5">
      <w:pPr>
        <w:pStyle w:val="ListParagraph"/>
        <w:numPr>
          <w:ilvl w:val="1"/>
          <w:numId w:val="7"/>
        </w:numPr>
        <w:spacing w:before="240" w:after="240" w:line="360" w:lineRule="auto"/>
        <w:rPr>
          <w:rFonts w:ascii="Franklin Gothic Book" w:hAnsi="Franklin Gothic Book"/>
        </w:rPr>
      </w:pPr>
      <w:r w:rsidRPr="00F735F5">
        <w:rPr>
          <w:rFonts w:ascii="Franklin Gothic Book" w:hAnsi="Franklin Gothic Book"/>
        </w:rPr>
        <w:t xml:space="preserve">In general, </w:t>
      </w:r>
      <w:r w:rsidR="00A90BC7" w:rsidRPr="00F735F5">
        <w:rPr>
          <w:rFonts w:ascii="Franklin Gothic Book" w:hAnsi="Franklin Gothic Book"/>
        </w:rPr>
        <w:t xml:space="preserve">children </w:t>
      </w:r>
      <w:r w:rsidR="003E2C40" w:rsidRPr="00F735F5">
        <w:rPr>
          <w:rFonts w:ascii="Franklin Gothic Book" w:hAnsi="Franklin Gothic Book"/>
        </w:rPr>
        <w:t xml:space="preserve">can </w:t>
      </w:r>
      <w:r w:rsidRPr="00F735F5">
        <w:rPr>
          <w:rFonts w:ascii="Franklin Gothic Book" w:hAnsi="Franklin Gothic Book"/>
        </w:rPr>
        <w:t xml:space="preserve">remain on (or be added to) a </w:t>
      </w:r>
      <w:r w:rsidR="003E2C40" w:rsidRPr="00F735F5">
        <w:rPr>
          <w:rFonts w:ascii="Franklin Gothic Book" w:hAnsi="Franklin Gothic Book"/>
        </w:rPr>
        <w:t xml:space="preserve">parent’s health insurance policy until they turn 26 years old. </w:t>
      </w:r>
    </w:p>
    <w:p w14:paraId="15E48E51" w14:textId="77777777" w:rsidR="00D414FF" w:rsidRPr="00F735F5" w:rsidRDefault="00D414FF" w:rsidP="00F735F5">
      <w:pPr>
        <w:pStyle w:val="ListParagraph"/>
        <w:numPr>
          <w:ilvl w:val="1"/>
          <w:numId w:val="7"/>
        </w:numPr>
        <w:spacing w:before="240" w:after="240" w:line="360" w:lineRule="auto"/>
        <w:rPr>
          <w:rFonts w:ascii="Franklin Gothic Book" w:hAnsi="Franklin Gothic Book"/>
        </w:rPr>
      </w:pPr>
      <w:r w:rsidRPr="00F735F5">
        <w:rPr>
          <w:rFonts w:ascii="Franklin Gothic Book" w:hAnsi="Franklin Gothic Book"/>
        </w:rPr>
        <w:t xml:space="preserve">If a young adult, </w:t>
      </w:r>
      <w:r w:rsidR="00376E29" w:rsidRPr="00F735F5">
        <w:rPr>
          <w:rFonts w:ascii="Franklin Gothic Book" w:hAnsi="Franklin Gothic Book"/>
        </w:rPr>
        <w:t>19 or</w:t>
      </w:r>
      <w:r w:rsidRPr="00F735F5">
        <w:rPr>
          <w:rFonts w:ascii="Franklin Gothic Book" w:hAnsi="Franklin Gothic Book"/>
        </w:rPr>
        <w:t xml:space="preserve"> 20 years old, is claimed as a tax dependent </w:t>
      </w:r>
      <w:r w:rsidR="00376E29" w:rsidRPr="00F735F5">
        <w:rPr>
          <w:rFonts w:ascii="Franklin Gothic Book" w:hAnsi="Franklin Gothic Book"/>
        </w:rPr>
        <w:t>by her</w:t>
      </w:r>
      <w:r w:rsidRPr="00F735F5">
        <w:rPr>
          <w:rFonts w:ascii="Franklin Gothic Book" w:hAnsi="Franklin Gothic Book"/>
        </w:rPr>
        <w:t xml:space="preserve"> parents and has access to</w:t>
      </w:r>
      <w:r w:rsidR="003835F7" w:rsidRPr="00F735F5">
        <w:rPr>
          <w:rFonts w:ascii="Franklin Gothic Book" w:hAnsi="Franklin Gothic Book"/>
        </w:rPr>
        <w:t>,</w:t>
      </w:r>
      <w:r w:rsidRPr="00F735F5">
        <w:rPr>
          <w:rFonts w:ascii="Franklin Gothic Book" w:hAnsi="Franklin Gothic Book"/>
        </w:rPr>
        <w:t xml:space="preserve"> or is eligible for</w:t>
      </w:r>
      <w:r w:rsidR="003835F7" w:rsidRPr="00F735F5">
        <w:rPr>
          <w:rFonts w:ascii="Franklin Gothic Book" w:hAnsi="Franklin Gothic Book"/>
        </w:rPr>
        <w:t>,</w:t>
      </w:r>
      <w:r w:rsidRPr="00F735F5">
        <w:rPr>
          <w:rFonts w:ascii="Franklin Gothic Book" w:hAnsi="Franklin Gothic Book"/>
        </w:rPr>
        <w:t xml:space="preserve"> </w:t>
      </w:r>
      <w:r w:rsidR="00376E29" w:rsidRPr="00F735F5">
        <w:rPr>
          <w:rFonts w:ascii="Franklin Gothic Book" w:hAnsi="Franklin Gothic Book"/>
        </w:rPr>
        <w:t>coverage through her</w:t>
      </w:r>
      <w:r w:rsidR="003835F7" w:rsidRPr="00F735F5">
        <w:rPr>
          <w:rFonts w:ascii="Franklin Gothic Book" w:hAnsi="Franklin Gothic Book"/>
        </w:rPr>
        <w:t xml:space="preserve"> parent’s </w:t>
      </w:r>
      <w:r w:rsidRPr="00F735F5">
        <w:rPr>
          <w:rFonts w:ascii="Franklin Gothic Book" w:hAnsi="Franklin Gothic Book"/>
        </w:rPr>
        <w:t xml:space="preserve">health insurance policy, then she is </w:t>
      </w:r>
      <w:r w:rsidRPr="00F735F5">
        <w:rPr>
          <w:rFonts w:ascii="Franklin Gothic Book" w:hAnsi="Franklin Gothic Book"/>
          <w:u w:val="single"/>
        </w:rPr>
        <w:t>ineligible</w:t>
      </w:r>
      <w:r w:rsidRPr="00F735F5">
        <w:rPr>
          <w:rFonts w:ascii="Franklin Gothic Book" w:hAnsi="Franklin Gothic Book"/>
        </w:rPr>
        <w:t xml:space="preserve"> for MinnesotaCare.</w:t>
      </w:r>
    </w:p>
    <w:p w14:paraId="15E48E52" w14:textId="77777777" w:rsidR="00657B86" w:rsidRPr="00F735F5" w:rsidRDefault="007863A6" w:rsidP="00F735F5">
      <w:pPr>
        <w:pStyle w:val="ListParagraph"/>
        <w:numPr>
          <w:ilvl w:val="1"/>
          <w:numId w:val="7"/>
        </w:numPr>
        <w:spacing w:before="240" w:after="240" w:line="360" w:lineRule="auto"/>
        <w:rPr>
          <w:rFonts w:ascii="Franklin Gothic Book" w:hAnsi="Franklin Gothic Book"/>
        </w:rPr>
      </w:pPr>
      <w:r w:rsidRPr="00F735F5">
        <w:rPr>
          <w:rFonts w:ascii="Franklin Gothic Book" w:hAnsi="Franklin Gothic Book"/>
        </w:rPr>
        <w:t>While MA is available for c</w:t>
      </w:r>
      <w:r w:rsidR="00657B86" w:rsidRPr="00F735F5">
        <w:rPr>
          <w:rFonts w:ascii="Franklin Gothic Book" w:hAnsi="Franklin Gothic Book"/>
        </w:rPr>
        <w:t xml:space="preserve">hildren under </w:t>
      </w:r>
      <w:r w:rsidRPr="00F735F5">
        <w:rPr>
          <w:rFonts w:ascii="Franklin Gothic Book" w:hAnsi="Franklin Gothic Book"/>
        </w:rPr>
        <w:t xml:space="preserve">the </w:t>
      </w:r>
      <w:r w:rsidR="00657B86" w:rsidRPr="00F735F5">
        <w:rPr>
          <w:rFonts w:ascii="Franklin Gothic Book" w:hAnsi="Franklin Gothic Book"/>
        </w:rPr>
        <w:t xml:space="preserve">age </w:t>
      </w:r>
      <w:r w:rsidRPr="00F735F5">
        <w:rPr>
          <w:rFonts w:ascii="Franklin Gothic Book" w:hAnsi="Franklin Gothic Book"/>
        </w:rPr>
        <w:t xml:space="preserve">of </w:t>
      </w:r>
      <w:r w:rsidR="00657B86" w:rsidRPr="00F735F5">
        <w:rPr>
          <w:rFonts w:ascii="Franklin Gothic Book" w:hAnsi="Franklin Gothic Book"/>
        </w:rPr>
        <w:t xml:space="preserve">19 with family income up to 275% FPL, </w:t>
      </w:r>
      <w:r w:rsidRPr="00F735F5">
        <w:rPr>
          <w:rFonts w:ascii="Franklin Gothic Book" w:hAnsi="Franklin Gothic Book"/>
        </w:rPr>
        <w:t>young adults, who are 19 or</w:t>
      </w:r>
      <w:r w:rsidR="00657B86" w:rsidRPr="00F735F5">
        <w:rPr>
          <w:rFonts w:ascii="Franklin Gothic Book" w:hAnsi="Franklin Gothic Book"/>
        </w:rPr>
        <w:t xml:space="preserve"> 20 year</w:t>
      </w:r>
      <w:r w:rsidRPr="00F735F5">
        <w:rPr>
          <w:rFonts w:ascii="Franklin Gothic Book" w:hAnsi="Franklin Gothic Book"/>
        </w:rPr>
        <w:t>s old,</w:t>
      </w:r>
      <w:r w:rsidR="00657B86" w:rsidRPr="00F735F5">
        <w:rPr>
          <w:rFonts w:ascii="Franklin Gothic Book" w:hAnsi="Franklin Gothic Book"/>
        </w:rPr>
        <w:t xml:space="preserve"> </w:t>
      </w:r>
      <w:r w:rsidRPr="00F735F5">
        <w:rPr>
          <w:rFonts w:ascii="Franklin Gothic Book" w:hAnsi="Franklin Gothic Book"/>
        </w:rPr>
        <w:t xml:space="preserve">can qualify for </w:t>
      </w:r>
      <w:r w:rsidR="00657B86" w:rsidRPr="00F735F5">
        <w:rPr>
          <w:rFonts w:ascii="Franklin Gothic Book" w:hAnsi="Franklin Gothic Book"/>
        </w:rPr>
        <w:t>MA with income up to 133% FPL.</w:t>
      </w:r>
      <w:r w:rsidRPr="00F735F5">
        <w:rPr>
          <w:rFonts w:ascii="Franklin Gothic Book" w:hAnsi="Franklin Gothic Book"/>
        </w:rPr>
        <w:t xml:space="preserve"> These young adults</w:t>
      </w:r>
      <w:r w:rsidR="00657B86" w:rsidRPr="00F735F5">
        <w:rPr>
          <w:rFonts w:ascii="Franklin Gothic Book" w:hAnsi="Franklin Gothic Book"/>
        </w:rPr>
        <w:t>, along with parents and adults</w:t>
      </w:r>
      <w:r w:rsidRPr="00F735F5">
        <w:rPr>
          <w:rFonts w:ascii="Franklin Gothic Book" w:hAnsi="Franklin Gothic Book"/>
        </w:rPr>
        <w:t xml:space="preserve"> without dependent children</w:t>
      </w:r>
      <w:r w:rsidR="00657B86" w:rsidRPr="00F735F5">
        <w:rPr>
          <w:rFonts w:ascii="Franklin Gothic Book" w:hAnsi="Franklin Gothic Book"/>
        </w:rPr>
        <w:t xml:space="preserve">, </w:t>
      </w:r>
      <w:r w:rsidRPr="00F735F5">
        <w:rPr>
          <w:rFonts w:ascii="Franklin Gothic Book" w:hAnsi="Franklin Gothic Book"/>
        </w:rPr>
        <w:t xml:space="preserve">become eligible for </w:t>
      </w:r>
      <w:r w:rsidR="00657B86" w:rsidRPr="00F735F5">
        <w:rPr>
          <w:rFonts w:ascii="Franklin Gothic Book" w:hAnsi="Franklin Gothic Book"/>
        </w:rPr>
        <w:t>MinnesotaCare</w:t>
      </w:r>
      <w:r w:rsidRPr="00F735F5">
        <w:rPr>
          <w:rFonts w:ascii="Franklin Gothic Book" w:hAnsi="Franklin Gothic Book"/>
        </w:rPr>
        <w:t>,</w:t>
      </w:r>
      <w:r w:rsidR="00657B86" w:rsidRPr="00F735F5">
        <w:rPr>
          <w:rFonts w:ascii="Franklin Gothic Book" w:hAnsi="Franklin Gothic Book"/>
        </w:rPr>
        <w:t xml:space="preserve"> when </w:t>
      </w:r>
      <w:r w:rsidRPr="00F735F5">
        <w:rPr>
          <w:rFonts w:ascii="Franklin Gothic Book" w:hAnsi="Franklin Gothic Book"/>
        </w:rPr>
        <w:t>their income</w:t>
      </w:r>
      <w:r w:rsidR="00AD764E">
        <w:rPr>
          <w:rFonts w:ascii="Franklin Gothic Book" w:hAnsi="Franklin Gothic Book"/>
        </w:rPr>
        <w:t>s</w:t>
      </w:r>
      <w:r w:rsidRPr="00F735F5">
        <w:rPr>
          <w:rFonts w:ascii="Franklin Gothic Book" w:hAnsi="Franklin Gothic Book"/>
        </w:rPr>
        <w:t xml:space="preserve"> </w:t>
      </w:r>
      <w:r w:rsidR="00AD764E">
        <w:rPr>
          <w:rFonts w:ascii="Franklin Gothic Book" w:hAnsi="Franklin Gothic Book"/>
        </w:rPr>
        <w:t xml:space="preserve">increase above </w:t>
      </w:r>
      <w:r w:rsidR="00657B86" w:rsidRPr="00F735F5">
        <w:rPr>
          <w:rFonts w:ascii="Franklin Gothic Book" w:hAnsi="Franklin Gothic Book"/>
        </w:rPr>
        <w:t>133% FPL</w:t>
      </w:r>
      <w:r w:rsidR="00AD764E">
        <w:rPr>
          <w:rFonts w:ascii="Franklin Gothic Book" w:hAnsi="Franklin Gothic Book"/>
        </w:rPr>
        <w:t>, but no higher than</w:t>
      </w:r>
      <w:r w:rsidR="00657B86" w:rsidRPr="00F735F5">
        <w:rPr>
          <w:rFonts w:ascii="Franklin Gothic Book" w:hAnsi="Franklin Gothic Book"/>
        </w:rPr>
        <w:t xml:space="preserve"> 200% FPL.</w:t>
      </w:r>
    </w:p>
    <w:p w14:paraId="15E48E53" w14:textId="77777777" w:rsidR="004A28CB" w:rsidRPr="00F735F5" w:rsidRDefault="004A28CB" w:rsidP="00F735F5">
      <w:pPr>
        <w:pStyle w:val="ListParagraph"/>
        <w:numPr>
          <w:ilvl w:val="0"/>
          <w:numId w:val="7"/>
        </w:numPr>
        <w:spacing w:before="240" w:after="240" w:line="360" w:lineRule="auto"/>
        <w:rPr>
          <w:rFonts w:ascii="Franklin Gothic Book" w:hAnsi="Franklin Gothic Book"/>
        </w:rPr>
      </w:pPr>
      <w:r w:rsidRPr="00F735F5">
        <w:rPr>
          <w:rFonts w:ascii="Franklin Gothic Book" w:hAnsi="Franklin Gothic Book"/>
        </w:rPr>
        <w:t xml:space="preserve">What is the difference between projected and current income? </w:t>
      </w:r>
      <w:r w:rsidR="00B2600C" w:rsidRPr="00F735F5">
        <w:rPr>
          <w:rFonts w:ascii="Franklin Gothic Book" w:hAnsi="Franklin Gothic Book"/>
        </w:rPr>
        <w:t xml:space="preserve">Which programs use projected? How is projected </w:t>
      </w:r>
      <w:r w:rsidR="001C5910" w:rsidRPr="00F735F5">
        <w:rPr>
          <w:rFonts w:ascii="Franklin Gothic Book" w:hAnsi="Franklin Gothic Book"/>
        </w:rPr>
        <w:t xml:space="preserve">annual </w:t>
      </w:r>
      <w:r w:rsidR="00B2600C" w:rsidRPr="00F735F5">
        <w:rPr>
          <w:rFonts w:ascii="Franklin Gothic Book" w:hAnsi="Franklin Gothic Book"/>
        </w:rPr>
        <w:t xml:space="preserve">income </w:t>
      </w:r>
      <w:r w:rsidR="00AE7EB5" w:rsidRPr="00F735F5">
        <w:rPr>
          <w:rFonts w:ascii="Franklin Gothic Book" w:hAnsi="Franklin Gothic Book"/>
        </w:rPr>
        <w:t>validated?</w:t>
      </w:r>
    </w:p>
    <w:p w14:paraId="15E48E54" w14:textId="77777777" w:rsidR="00A17483" w:rsidRPr="00F735F5" w:rsidRDefault="00A17483" w:rsidP="00F735F5">
      <w:pPr>
        <w:pStyle w:val="ListParagraph"/>
        <w:numPr>
          <w:ilvl w:val="1"/>
          <w:numId w:val="7"/>
        </w:numPr>
        <w:spacing w:before="240" w:after="240" w:line="360" w:lineRule="auto"/>
        <w:rPr>
          <w:rFonts w:ascii="Franklin Gothic Book" w:hAnsi="Franklin Gothic Book"/>
        </w:rPr>
      </w:pPr>
      <w:r w:rsidRPr="00F735F5">
        <w:rPr>
          <w:rFonts w:ascii="Franklin Gothic Book" w:hAnsi="Franklin Gothic Book"/>
        </w:rPr>
        <w:t>Pro</w:t>
      </w:r>
      <w:r w:rsidR="00D0796C" w:rsidRPr="00F735F5">
        <w:rPr>
          <w:rFonts w:ascii="Franklin Gothic Book" w:hAnsi="Franklin Gothic Book"/>
        </w:rPr>
        <w:t>jected annual income is based on</w:t>
      </w:r>
      <w:r w:rsidRPr="00F735F5">
        <w:rPr>
          <w:rFonts w:ascii="Franklin Gothic Book" w:hAnsi="Franklin Gothic Book"/>
        </w:rPr>
        <w:t xml:space="preserve"> income expected for a tax (or calendar) year.  Current income, used in MA, is based on the current month’s income</w:t>
      </w:r>
      <w:r w:rsidR="00D0796C" w:rsidRPr="00F735F5">
        <w:rPr>
          <w:rFonts w:ascii="Franklin Gothic Book" w:hAnsi="Franklin Gothic Book"/>
        </w:rPr>
        <w:t xml:space="preserve"> </w:t>
      </w:r>
      <w:r w:rsidR="003017FD" w:rsidRPr="00F735F5">
        <w:rPr>
          <w:rFonts w:ascii="Franklin Gothic Book" w:hAnsi="Franklin Gothic Book"/>
        </w:rPr>
        <w:t>at</w:t>
      </w:r>
      <w:r w:rsidR="00D0796C" w:rsidRPr="00F735F5">
        <w:rPr>
          <w:rFonts w:ascii="Franklin Gothic Book" w:hAnsi="Franklin Gothic Book"/>
        </w:rPr>
        <w:t xml:space="preserve"> the date of application</w:t>
      </w:r>
      <w:r w:rsidRPr="00F735F5">
        <w:rPr>
          <w:rFonts w:ascii="Franklin Gothic Book" w:hAnsi="Franklin Gothic Book"/>
        </w:rPr>
        <w:t xml:space="preserve">, which is then </w:t>
      </w:r>
      <w:r w:rsidR="001C5910" w:rsidRPr="00F735F5">
        <w:rPr>
          <w:rFonts w:ascii="Franklin Gothic Book" w:hAnsi="Franklin Gothic Book"/>
        </w:rPr>
        <w:t>used to estimate one’s annual income by multiplying that month’s income by 12</w:t>
      </w:r>
      <w:r w:rsidRPr="00F735F5">
        <w:rPr>
          <w:rFonts w:ascii="Franklin Gothic Book" w:hAnsi="Franklin Gothic Book"/>
        </w:rPr>
        <w:t xml:space="preserve">.  </w:t>
      </w:r>
    </w:p>
    <w:p w14:paraId="15E48E55" w14:textId="77777777" w:rsidR="00A17483" w:rsidRPr="00F735F5" w:rsidRDefault="00A17483" w:rsidP="00F735F5">
      <w:pPr>
        <w:pStyle w:val="ListParagraph"/>
        <w:numPr>
          <w:ilvl w:val="1"/>
          <w:numId w:val="7"/>
        </w:numPr>
        <w:spacing w:before="240" w:after="240" w:line="360" w:lineRule="auto"/>
        <w:rPr>
          <w:rFonts w:ascii="Franklin Gothic Book" w:hAnsi="Franklin Gothic Book"/>
        </w:rPr>
      </w:pPr>
      <w:r w:rsidRPr="00F735F5">
        <w:rPr>
          <w:rFonts w:ascii="Franklin Gothic Book" w:hAnsi="Franklin Gothic Book"/>
        </w:rPr>
        <w:t>MinnesotaC</w:t>
      </w:r>
      <w:r w:rsidR="00D0796C" w:rsidRPr="00F735F5">
        <w:rPr>
          <w:rFonts w:ascii="Franklin Gothic Book" w:hAnsi="Franklin Gothic Book"/>
        </w:rPr>
        <w:t xml:space="preserve">are and plans purchased through MNsure with advanced premium tax credits </w:t>
      </w:r>
      <w:r w:rsidR="00376E29" w:rsidRPr="00F735F5">
        <w:rPr>
          <w:rFonts w:ascii="Franklin Gothic Book" w:hAnsi="Franklin Gothic Book"/>
        </w:rPr>
        <w:t>use projected</w:t>
      </w:r>
      <w:r w:rsidRPr="00F735F5">
        <w:rPr>
          <w:rFonts w:ascii="Franklin Gothic Book" w:hAnsi="Franklin Gothic Book"/>
        </w:rPr>
        <w:t xml:space="preserve"> (tax year) annual income</w:t>
      </w:r>
      <w:r w:rsidR="00B06B1C" w:rsidRPr="00F735F5">
        <w:rPr>
          <w:rFonts w:ascii="Franklin Gothic Book" w:hAnsi="Franklin Gothic Book"/>
        </w:rPr>
        <w:t xml:space="preserve"> to determine eligibility, whereas </w:t>
      </w:r>
      <w:r w:rsidR="00D0796C" w:rsidRPr="00F735F5">
        <w:rPr>
          <w:rFonts w:ascii="Franklin Gothic Book" w:hAnsi="Franklin Gothic Book"/>
        </w:rPr>
        <w:t xml:space="preserve">MA uses </w:t>
      </w:r>
      <w:r w:rsidRPr="00F735F5">
        <w:rPr>
          <w:rFonts w:ascii="Franklin Gothic Book" w:hAnsi="Franklin Gothic Book"/>
        </w:rPr>
        <w:t>current income.</w:t>
      </w:r>
    </w:p>
    <w:p w14:paraId="15E48E58" w14:textId="5DD3341C" w:rsidR="00B2600C" w:rsidRPr="00296F66" w:rsidRDefault="007863A6" w:rsidP="00165DE2">
      <w:pPr>
        <w:pStyle w:val="ListParagraph"/>
        <w:numPr>
          <w:ilvl w:val="1"/>
          <w:numId w:val="7"/>
        </w:numPr>
        <w:spacing w:before="240" w:after="240" w:line="360" w:lineRule="auto"/>
        <w:rPr>
          <w:rFonts w:ascii="Franklin Gothic Book" w:hAnsi="Franklin Gothic Book"/>
        </w:rPr>
      </w:pPr>
      <w:r w:rsidRPr="00296F66">
        <w:rPr>
          <w:rFonts w:ascii="Franklin Gothic Book" w:hAnsi="Franklin Gothic Book"/>
        </w:rPr>
        <w:t xml:space="preserve">A person’s </w:t>
      </w:r>
      <w:r w:rsidR="00D0796C" w:rsidRPr="00296F66">
        <w:rPr>
          <w:rFonts w:ascii="Franklin Gothic Book" w:hAnsi="Franklin Gothic Book"/>
        </w:rPr>
        <w:t xml:space="preserve">attestation </w:t>
      </w:r>
      <w:r w:rsidR="00B06B1C" w:rsidRPr="00296F66">
        <w:rPr>
          <w:rFonts w:ascii="Franklin Gothic Book" w:hAnsi="Franklin Gothic Book"/>
        </w:rPr>
        <w:t xml:space="preserve">of income </w:t>
      </w:r>
      <w:r w:rsidR="00A17483" w:rsidRPr="00296F66">
        <w:rPr>
          <w:rFonts w:ascii="Franklin Gothic Book" w:hAnsi="Franklin Gothic Book"/>
        </w:rPr>
        <w:t xml:space="preserve">is </w:t>
      </w:r>
      <w:r w:rsidRPr="00296F66">
        <w:rPr>
          <w:rFonts w:ascii="Franklin Gothic Book" w:hAnsi="Franklin Gothic Book"/>
        </w:rPr>
        <w:t xml:space="preserve">compared to electronic data sources including </w:t>
      </w:r>
      <w:r w:rsidR="00A17483" w:rsidRPr="00296F66">
        <w:rPr>
          <w:rFonts w:ascii="Franklin Gothic Book" w:hAnsi="Franklin Gothic Book"/>
        </w:rPr>
        <w:t>federal tax income</w:t>
      </w:r>
      <w:r w:rsidR="00D0796C" w:rsidRPr="00296F66">
        <w:rPr>
          <w:rFonts w:ascii="Franklin Gothic Book" w:hAnsi="Franklin Gothic Book"/>
        </w:rPr>
        <w:t xml:space="preserve"> filings</w:t>
      </w:r>
      <w:r w:rsidR="00A17483" w:rsidRPr="00296F66">
        <w:rPr>
          <w:rFonts w:ascii="Franklin Gothic Book" w:hAnsi="Franklin Gothic Book"/>
        </w:rPr>
        <w:t>, a national wage data base known as TALX, and income sources from the Department of Employment and Economic Development (DEED).</w:t>
      </w:r>
      <w:r w:rsidR="00B06B1C" w:rsidRPr="00296F66">
        <w:rPr>
          <w:rFonts w:ascii="Franklin Gothic Book" w:hAnsi="Franklin Gothic Book"/>
        </w:rPr>
        <w:t xml:space="preserve"> </w:t>
      </w:r>
    </w:p>
    <w:sectPr w:rsidR="00B2600C" w:rsidRPr="00296F66" w:rsidSect="00F735F5">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4A32E" w14:textId="77777777" w:rsidR="00C604C4" w:rsidRDefault="00C604C4" w:rsidP="001A3F08">
      <w:pPr>
        <w:spacing w:after="0" w:line="240" w:lineRule="auto"/>
      </w:pPr>
      <w:r>
        <w:separator/>
      </w:r>
    </w:p>
  </w:endnote>
  <w:endnote w:type="continuationSeparator" w:id="0">
    <w:p w14:paraId="04F8EB82" w14:textId="77777777" w:rsidR="00C604C4" w:rsidRDefault="00C604C4" w:rsidP="001A3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281CB" w14:textId="77777777" w:rsidR="00C604C4" w:rsidRDefault="00C604C4" w:rsidP="001A3F08">
      <w:pPr>
        <w:spacing w:after="0" w:line="240" w:lineRule="auto"/>
      </w:pPr>
      <w:r>
        <w:separator/>
      </w:r>
    </w:p>
  </w:footnote>
  <w:footnote w:type="continuationSeparator" w:id="0">
    <w:p w14:paraId="64957CDA" w14:textId="77777777" w:rsidR="00C604C4" w:rsidRDefault="00C604C4" w:rsidP="001A3F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48E5F" w14:textId="77777777" w:rsidR="001A3F08" w:rsidRPr="001A3F08" w:rsidRDefault="001A3F08" w:rsidP="001A3F08">
    <w:pPr>
      <w:pStyle w:val="Header"/>
      <w:tabs>
        <w:tab w:val="clear" w:pos="4680"/>
        <w:tab w:val="clear" w:pos="9360"/>
        <w:tab w:val="left" w:pos="3217"/>
      </w:tabs>
      <w:rPr>
        <w:rFonts w:ascii="Franklin Gothic Book" w:hAnsi="Franklin Gothic Book"/>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48E60" w14:textId="77777777" w:rsidR="001A3F08" w:rsidRDefault="001A3F08">
    <w:pPr>
      <w:pStyle w:val="Header"/>
    </w:pPr>
    <w:r>
      <w:rPr>
        <w:noProof/>
      </w:rPr>
      <w:drawing>
        <wp:inline distT="0" distB="0" distL="0" distR="0" wp14:anchorId="15E48E65" wp14:editId="15E48E66">
          <wp:extent cx="3086910" cy="704337"/>
          <wp:effectExtent l="0" t="0" r="0" b="635"/>
          <wp:docPr id="3" name="Picture 3" descr="Health Care Financing Task Forc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ftf-logo.jpg"/>
                  <pic:cNvPicPr/>
                </pic:nvPicPr>
                <pic:blipFill>
                  <a:blip r:embed="rId1">
                    <a:extLst>
                      <a:ext uri="{28A0092B-C50C-407E-A947-70E740481C1C}">
                        <a14:useLocalDpi xmlns:a14="http://schemas.microsoft.com/office/drawing/2010/main" val="0"/>
                      </a:ext>
                    </a:extLst>
                  </a:blip>
                  <a:stretch>
                    <a:fillRect/>
                  </a:stretch>
                </pic:blipFill>
                <pic:spPr>
                  <a:xfrm>
                    <a:off x="0" y="0"/>
                    <a:ext cx="3115937" cy="710960"/>
                  </a:xfrm>
                  <a:prstGeom prst="rect">
                    <a:avLst/>
                  </a:prstGeom>
                </pic:spPr>
              </pic:pic>
            </a:graphicData>
          </a:graphic>
        </wp:inline>
      </w:drawing>
    </w:r>
  </w:p>
  <w:p w14:paraId="15E48E61" w14:textId="77777777" w:rsidR="001A3F08" w:rsidRPr="001A3F08" w:rsidRDefault="001A3F08">
    <w:pPr>
      <w:pStyle w:val="Header"/>
      <w:rPr>
        <w:rFonts w:ascii="Franklin Gothic Book" w:hAnsi="Franklin Gothic Book"/>
        <w:sz w:val="28"/>
        <w:szCs w:val="28"/>
      </w:rPr>
    </w:pPr>
  </w:p>
  <w:p w14:paraId="15E48E62" w14:textId="77777777" w:rsidR="001A3F08" w:rsidRPr="001A3F08" w:rsidRDefault="001A3F08">
    <w:pPr>
      <w:pStyle w:val="Header"/>
      <w:rPr>
        <w:rFonts w:ascii="Franklin Gothic Book" w:hAnsi="Franklin Gothic Book"/>
        <w:sz w:val="28"/>
        <w:szCs w:val="28"/>
      </w:rPr>
    </w:pPr>
    <w:r w:rsidRPr="001A3F08">
      <w:rPr>
        <w:rFonts w:ascii="Franklin Gothic Book" w:hAnsi="Franklin Gothic Book"/>
        <w:sz w:val="28"/>
        <w:szCs w:val="28"/>
      </w:rPr>
      <w:t>Seamless Coverage Workgroup</w:t>
    </w:r>
  </w:p>
  <w:p w14:paraId="15E48E63" w14:textId="77777777" w:rsidR="001A3F08" w:rsidRDefault="001A3F08">
    <w:pPr>
      <w:pStyle w:val="Header"/>
      <w:rPr>
        <w:rFonts w:ascii="Franklin Gothic Book" w:hAnsi="Franklin Gothic Book"/>
        <w:sz w:val="28"/>
        <w:szCs w:val="28"/>
      </w:rPr>
    </w:pPr>
    <w:r w:rsidRPr="001A3F08">
      <w:rPr>
        <w:rFonts w:ascii="Franklin Gothic Book" w:hAnsi="Franklin Gothic Book"/>
        <w:sz w:val="28"/>
        <w:szCs w:val="28"/>
      </w:rPr>
      <w:t>Questions &amp; Answers Record</w:t>
    </w:r>
  </w:p>
  <w:p w14:paraId="15E48E64" w14:textId="77777777" w:rsidR="004E2CEC" w:rsidRPr="001A3F08" w:rsidRDefault="004E2CEC">
    <w:pPr>
      <w:pStyle w:val="Header"/>
      <w:rPr>
        <w:rFonts w:ascii="Franklin Gothic Book" w:hAnsi="Franklin Gothic Book"/>
        <w:sz w:val="28"/>
        <w:szCs w:val="28"/>
      </w:rPr>
    </w:pPr>
    <w:r>
      <w:rPr>
        <w:rFonts w:ascii="Franklin Gothic Book" w:hAnsi="Franklin Gothic Book"/>
        <w:sz w:val="28"/>
        <w:szCs w:val="28"/>
      </w:rPr>
      <w:t>Sept. 25,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23C0"/>
    <w:multiLevelType w:val="hybridMultilevel"/>
    <w:tmpl w:val="B2A84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45739D"/>
    <w:multiLevelType w:val="hybridMultilevel"/>
    <w:tmpl w:val="E1366AB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4704008"/>
    <w:multiLevelType w:val="hybridMultilevel"/>
    <w:tmpl w:val="6A8280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8B51C6C"/>
    <w:multiLevelType w:val="hybridMultilevel"/>
    <w:tmpl w:val="AEF22AB2"/>
    <w:lvl w:ilvl="0" w:tplc="0409000F">
      <w:start w:val="1"/>
      <w:numFmt w:val="decimal"/>
      <w:lvlText w:val="%1."/>
      <w:lvlJc w:val="left"/>
      <w:pPr>
        <w:ind w:left="720" w:hanging="360"/>
      </w:pPr>
    </w:lvl>
    <w:lvl w:ilvl="1" w:tplc="7D500128">
      <w:start w:val="1"/>
      <w:numFmt w:val="lowerLetter"/>
      <w:lvlText w:val="%2."/>
      <w:lvlJc w:val="left"/>
      <w:pPr>
        <w:ind w:left="1440" w:hanging="360"/>
      </w:pPr>
      <w:rPr>
        <w:rFonts w:ascii="Franklin Gothic Book" w:hAnsi="Franklin Gothic Book" w:hint="default"/>
      </w:rPr>
    </w:lvl>
    <w:lvl w:ilvl="2" w:tplc="0409001B">
      <w:start w:val="1"/>
      <w:numFmt w:val="lowerRoman"/>
      <w:lvlText w:val="%3."/>
      <w:lvlJc w:val="right"/>
      <w:pPr>
        <w:ind w:left="1890" w:hanging="180"/>
      </w:pPr>
    </w:lvl>
    <w:lvl w:ilvl="3" w:tplc="0409000F">
      <w:start w:val="1"/>
      <w:numFmt w:val="decimal"/>
      <w:lvlText w:val="%4."/>
      <w:lvlJc w:val="left"/>
      <w:pPr>
        <w:ind w:left="234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4541328"/>
    <w:multiLevelType w:val="hybridMultilevel"/>
    <w:tmpl w:val="1CDC90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67710F7"/>
    <w:multiLevelType w:val="hybridMultilevel"/>
    <w:tmpl w:val="562082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4E124D"/>
    <w:multiLevelType w:val="hybridMultilevel"/>
    <w:tmpl w:val="A07C39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88E061B"/>
    <w:multiLevelType w:val="hybridMultilevel"/>
    <w:tmpl w:val="B2F04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77538E9"/>
    <w:multiLevelType w:val="hybridMultilevel"/>
    <w:tmpl w:val="32F89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7A277E8"/>
    <w:multiLevelType w:val="hybridMultilevel"/>
    <w:tmpl w:val="70B0B4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7D0378E"/>
    <w:multiLevelType w:val="hybridMultilevel"/>
    <w:tmpl w:val="E312A8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7"/>
  </w:num>
  <w:num w:numId="4">
    <w:abstractNumId w:val="6"/>
  </w:num>
  <w:num w:numId="5">
    <w:abstractNumId w:val="5"/>
  </w:num>
  <w:num w:numId="6">
    <w:abstractNumId w:val="8"/>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0"/>
  </w:num>
  <w:num w:numId="14">
    <w:abstractNumId w:val="4"/>
  </w:num>
  <w:num w:numId="15">
    <w:abstractNumId w:val="9"/>
  </w:num>
  <w:num w:numId="16">
    <w:abstractNumId w:val="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471"/>
    <w:rsid w:val="00015A70"/>
    <w:rsid w:val="00194090"/>
    <w:rsid w:val="001A3F08"/>
    <w:rsid w:val="001C5910"/>
    <w:rsid w:val="001E7A2A"/>
    <w:rsid w:val="002652F6"/>
    <w:rsid w:val="00296F66"/>
    <w:rsid w:val="002D0968"/>
    <w:rsid w:val="003017FD"/>
    <w:rsid w:val="00356FD6"/>
    <w:rsid w:val="00376E29"/>
    <w:rsid w:val="003835F7"/>
    <w:rsid w:val="003E2C40"/>
    <w:rsid w:val="004250F2"/>
    <w:rsid w:val="004A28CB"/>
    <w:rsid w:val="004E2CEC"/>
    <w:rsid w:val="00605BE1"/>
    <w:rsid w:val="0065483A"/>
    <w:rsid w:val="00657B86"/>
    <w:rsid w:val="00680A5F"/>
    <w:rsid w:val="006E1ECB"/>
    <w:rsid w:val="006F74DF"/>
    <w:rsid w:val="00710053"/>
    <w:rsid w:val="007863A6"/>
    <w:rsid w:val="007B321B"/>
    <w:rsid w:val="008130F3"/>
    <w:rsid w:val="00834C86"/>
    <w:rsid w:val="008D0639"/>
    <w:rsid w:val="00964BCC"/>
    <w:rsid w:val="00A17483"/>
    <w:rsid w:val="00A90BC7"/>
    <w:rsid w:val="00AD764E"/>
    <w:rsid w:val="00AE7EB5"/>
    <w:rsid w:val="00B02AD5"/>
    <w:rsid w:val="00B06B1C"/>
    <w:rsid w:val="00B2600C"/>
    <w:rsid w:val="00B37F2A"/>
    <w:rsid w:val="00B84341"/>
    <w:rsid w:val="00BA7E8D"/>
    <w:rsid w:val="00BB0104"/>
    <w:rsid w:val="00C604C4"/>
    <w:rsid w:val="00CC27F5"/>
    <w:rsid w:val="00CC42E3"/>
    <w:rsid w:val="00D0796C"/>
    <w:rsid w:val="00D21667"/>
    <w:rsid w:val="00D414FF"/>
    <w:rsid w:val="00E06968"/>
    <w:rsid w:val="00E358F4"/>
    <w:rsid w:val="00E7065B"/>
    <w:rsid w:val="00EA24C5"/>
    <w:rsid w:val="00F33385"/>
    <w:rsid w:val="00F735F5"/>
    <w:rsid w:val="00F94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48E15"/>
  <w15:docId w15:val="{FC7E0595-3440-4423-86FF-1B8BB443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C27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471"/>
    <w:pPr>
      <w:spacing w:after="0" w:line="240" w:lineRule="auto"/>
      <w:ind w:left="720"/>
    </w:pPr>
    <w:rPr>
      <w:rFonts w:ascii="Calibri" w:hAnsi="Calibri" w:cs="Times New Roman"/>
    </w:rPr>
  </w:style>
  <w:style w:type="character" w:customStyle="1" w:styleId="apple-converted-space">
    <w:name w:val="apple-converted-space"/>
    <w:basedOn w:val="DefaultParagraphFont"/>
    <w:rsid w:val="00F94471"/>
  </w:style>
  <w:style w:type="paragraph" w:styleId="BalloonText">
    <w:name w:val="Balloon Text"/>
    <w:basedOn w:val="Normal"/>
    <w:link w:val="BalloonTextChar"/>
    <w:uiPriority w:val="99"/>
    <w:semiHidden/>
    <w:unhideWhenUsed/>
    <w:rsid w:val="00A174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483"/>
    <w:rPr>
      <w:rFonts w:ascii="Segoe UI" w:hAnsi="Segoe UI" w:cs="Segoe UI"/>
      <w:sz w:val="18"/>
      <w:szCs w:val="18"/>
    </w:rPr>
  </w:style>
  <w:style w:type="paragraph" w:styleId="Header">
    <w:name w:val="header"/>
    <w:basedOn w:val="Normal"/>
    <w:link w:val="HeaderChar"/>
    <w:uiPriority w:val="99"/>
    <w:unhideWhenUsed/>
    <w:rsid w:val="001A3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F08"/>
  </w:style>
  <w:style w:type="paragraph" w:styleId="Footer">
    <w:name w:val="footer"/>
    <w:basedOn w:val="Normal"/>
    <w:link w:val="FooterChar"/>
    <w:uiPriority w:val="99"/>
    <w:unhideWhenUsed/>
    <w:rsid w:val="001A3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F08"/>
  </w:style>
  <w:style w:type="character" w:styleId="CommentReference">
    <w:name w:val="annotation reference"/>
    <w:basedOn w:val="DefaultParagraphFont"/>
    <w:uiPriority w:val="99"/>
    <w:semiHidden/>
    <w:unhideWhenUsed/>
    <w:rsid w:val="00710053"/>
    <w:rPr>
      <w:sz w:val="16"/>
      <w:szCs w:val="16"/>
    </w:rPr>
  </w:style>
  <w:style w:type="paragraph" w:styleId="CommentText">
    <w:name w:val="annotation text"/>
    <w:basedOn w:val="Normal"/>
    <w:link w:val="CommentTextChar"/>
    <w:uiPriority w:val="99"/>
    <w:semiHidden/>
    <w:unhideWhenUsed/>
    <w:rsid w:val="00710053"/>
    <w:pPr>
      <w:spacing w:line="240" w:lineRule="auto"/>
    </w:pPr>
    <w:rPr>
      <w:sz w:val="20"/>
      <w:szCs w:val="20"/>
    </w:rPr>
  </w:style>
  <w:style w:type="character" w:customStyle="1" w:styleId="CommentTextChar">
    <w:name w:val="Comment Text Char"/>
    <w:basedOn w:val="DefaultParagraphFont"/>
    <w:link w:val="CommentText"/>
    <w:uiPriority w:val="99"/>
    <w:semiHidden/>
    <w:rsid w:val="00710053"/>
    <w:rPr>
      <w:sz w:val="20"/>
      <w:szCs w:val="20"/>
    </w:rPr>
  </w:style>
  <w:style w:type="paragraph" w:styleId="CommentSubject">
    <w:name w:val="annotation subject"/>
    <w:basedOn w:val="CommentText"/>
    <w:next w:val="CommentText"/>
    <w:link w:val="CommentSubjectChar"/>
    <w:uiPriority w:val="99"/>
    <w:semiHidden/>
    <w:unhideWhenUsed/>
    <w:rsid w:val="00710053"/>
    <w:rPr>
      <w:b/>
      <w:bCs/>
    </w:rPr>
  </w:style>
  <w:style w:type="character" w:customStyle="1" w:styleId="CommentSubjectChar">
    <w:name w:val="Comment Subject Char"/>
    <w:basedOn w:val="CommentTextChar"/>
    <w:link w:val="CommentSubject"/>
    <w:uiPriority w:val="99"/>
    <w:semiHidden/>
    <w:rsid w:val="00710053"/>
    <w:rPr>
      <w:b/>
      <w:bCs/>
      <w:sz w:val="20"/>
      <w:szCs w:val="20"/>
    </w:rPr>
  </w:style>
  <w:style w:type="character" w:styleId="SubtleEmphasis">
    <w:name w:val="Subtle Emphasis"/>
    <w:basedOn w:val="DefaultParagraphFont"/>
    <w:uiPriority w:val="19"/>
    <w:qFormat/>
    <w:rsid w:val="00CC27F5"/>
    <w:rPr>
      <w:i/>
      <w:iCs/>
      <w:color w:val="404040" w:themeColor="text1" w:themeTint="BF"/>
    </w:rPr>
  </w:style>
  <w:style w:type="character" w:customStyle="1" w:styleId="Heading2Char">
    <w:name w:val="Heading 2 Char"/>
    <w:basedOn w:val="DefaultParagraphFont"/>
    <w:link w:val="Heading2"/>
    <w:uiPriority w:val="9"/>
    <w:rsid w:val="00CC27F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044162">
      <w:bodyDiv w:val="1"/>
      <w:marLeft w:val="0"/>
      <w:marRight w:val="0"/>
      <w:marTop w:val="0"/>
      <w:marBottom w:val="0"/>
      <w:divBdr>
        <w:top w:val="none" w:sz="0" w:space="0" w:color="auto"/>
        <w:left w:val="none" w:sz="0" w:space="0" w:color="auto"/>
        <w:bottom w:val="none" w:sz="0" w:space="0" w:color="auto"/>
        <w:right w:val="none" w:sz="0" w:space="0" w:color="auto"/>
      </w:divBdr>
    </w:div>
    <w:div w:id="392506908">
      <w:bodyDiv w:val="1"/>
      <w:marLeft w:val="0"/>
      <w:marRight w:val="0"/>
      <w:marTop w:val="0"/>
      <w:marBottom w:val="0"/>
      <w:divBdr>
        <w:top w:val="none" w:sz="0" w:space="0" w:color="auto"/>
        <w:left w:val="none" w:sz="0" w:space="0" w:color="auto"/>
        <w:bottom w:val="none" w:sz="0" w:space="0" w:color="auto"/>
        <w:right w:val="none" w:sz="0" w:space="0" w:color="auto"/>
      </w:divBdr>
    </w:div>
    <w:div w:id="486634968">
      <w:bodyDiv w:val="1"/>
      <w:marLeft w:val="0"/>
      <w:marRight w:val="0"/>
      <w:marTop w:val="0"/>
      <w:marBottom w:val="0"/>
      <w:divBdr>
        <w:top w:val="none" w:sz="0" w:space="0" w:color="auto"/>
        <w:left w:val="none" w:sz="0" w:space="0" w:color="auto"/>
        <w:bottom w:val="none" w:sz="0" w:space="0" w:color="auto"/>
        <w:right w:val="none" w:sz="0" w:space="0" w:color="auto"/>
      </w:divBdr>
    </w:div>
    <w:div w:id="515703346">
      <w:bodyDiv w:val="1"/>
      <w:marLeft w:val="0"/>
      <w:marRight w:val="0"/>
      <w:marTop w:val="0"/>
      <w:marBottom w:val="0"/>
      <w:divBdr>
        <w:top w:val="none" w:sz="0" w:space="0" w:color="auto"/>
        <w:left w:val="none" w:sz="0" w:space="0" w:color="auto"/>
        <w:bottom w:val="none" w:sz="0" w:space="0" w:color="auto"/>
        <w:right w:val="none" w:sz="0" w:space="0" w:color="auto"/>
      </w:divBdr>
    </w:div>
    <w:div w:id="578489109">
      <w:bodyDiv w:val="1"/>
      <w:marLeft w:val="0"/>
      <w:marRight w:val="0"/>
      <w:marTop w:val="0"/>
      <w:marBottom w:val="0"/>
      <w:divBdr>
        <w:top w:val="none" w:sz="0" w:space="0" w:color="auto"/>
        <w:left w:val="none" w:sz="0" w:space="0" w:color="auto"/>
        <w:bottom w:val="none" w:sz="0" w:space="0" w:color="auto"/>
        <w:right w:val="none" w:sz="0" w:space="0" w:color="auto"/>
      </w:divBdr>
    </w:div>
    <w:div w:id="757749150">
      <w:bodyDiv w:val="1"/>
      <w:marLeft w:val="0"/>
      <w:marRight w:val="0"/>
      <w:marTop w:val="0"/>
      <w:marBottom w:val="0"/>
      <w:divBdr>
        <w:top w:val="none" w:sz="0" w:space="0" w:color="auto"/>
        <w:left w:val="none" w:sz="0" w:space="0" w:color="auto"/>
        <w:bottom w:val="none" w:sz="0" w:space="0" w:color="auto"/>
        <w:right w:val="none" w:sz="0" w:space="0" w:color="auto"/>
      </w:divBdr>
    </w:div>
    <w:div w:id="968820455">
      <w:bodyDiv w:val="1"/>
      <w:marLeft w:val="0"/>
      <w:marRight w:val="0"/>
      <w:marTop w:val="0"/>
      <w:marBottom w:val="0"/>
      <w:divBdr>
        <w:top w:val="none" w:sz="0" w:space="0" w:color="auto"/>
        <w:left w:val="none" w:sz="0" w:space="0" w:color="auto"/>
        <w:bottom w:val="none" w:sz="0" w:space="0" w:color="auto"/>
        <w:right w:val="none" w:sz="0" w:space="0" w:color="auto"/>
      </w:divBdr>
    </w:div>
    <w:div w:id="1203518235">
      <w:bodyDiv w:val="1"/>
      <w:marLeft w:val="0"/>
      <w:marRight w:val="0"/>
      <w:marTop w:val="0"/>
      <w:marBottom w:val="0"/>
      <w:divBdr>
        <w:top w:val="none" w:sz="0" w:space="0" w:color="auto"/>
        <w:left w:val="none" w:sz="0" w:space="0" w:color="auto"/>
        <w:bottom w:val="none" w:sz="0" w:space="0" w:color="auto"/>
        <w:right w:val="none" w:sz="0" w:space="0" w:color="auto"/>
      </w:divBdr>
    </w:div>
    <w:div w:id="1321730694">
      <w:bodyDiv w:val="1"/>
      <w:marLeft w:val="0"/>
      <w:marRight w:val="0"/>
      <w:marTop w:val="0"/>
      <w:marBottom w:val="0"/>
      <w:divBdr>
        <w:top w:val="none" w:sz="0" w:space="0" w:color="auto"/>
        <w:left w:val="none" w:sz="0" w:space="0" w:color="auto"/>
        <w:bottom w:val="none" w:sz="0" w:space="0" w:color="auto"/>
        <w:right w:val="none" w:sz="0" w:space="0" w:color="auto"/>
      </w:divBdr>
    </w:div>
    <w:div w:id="1349914115">
      <w:bodyDiv w:val="1"/>
      <w:marLeft w:val="0"/>
      <w:marRight w:val="0"/>
      <w:marTop w:val="0"/>
      <w:marBottom w:val="0"/>
      <w:divBdr>
        <w:top w:val="none" w:sz="0" w:space="0" w:color="auto"/>
        <w:left w:val="none" w:sz="0" w:space="0" w:color="auto"/>
        <w:bottom w:val="none" w:sz="0" w:space="0" w:color="auto"/>
        <w:right w:val="none" w:sz="0" w:space="0" w:color="auto"/>
      </w:divBdr>
    </w:div>
    <w:div w:id="1796481771">
      <w:bodyDiv w:val="1"/>
      <w:marLeft w:val="0"/>
      <w:marRight w:val="0"/>
      <w:marTop w:val="0"/>
      <w:marBottom w:val="0"/>
      <w:divBdr>
        <w:top w:val="none" w:sz="0" w:space="0" w:color="auto"/>
        <w:left w:val="none" w:sz="0" w:space="0" w:color="auto"/>
        <w:bottom w:val="none" w:sz="0" w:space="0" w:color="auto"/>
        <w:right w:val="none" w:sz="0" w:space="0" w:color="auto"/>
      </w:divBdr>
    </w:div>
    <w:div w:id="1927380505">
      <w:bodyDiv w:val="1"/>
      <w:marLeft w:val="0"/>
      <w:marRight w:val="0"/>
      <w:marTop w:val="0"/>
      <w:marBottom w:val="0"/>
      <w:divBdr>
        <w:top w:val="none" w:sz="0" w:space="0" w:color="auto"/>
        <w:left w:val="none" w:sz="0" w:space="0" w:color="auto"/>
        <w:bottom w:val="none" w:sz="0" w:space="0" w:color="auto"/>
        <w:right w:val="none" w:sz="0" w:space="0" w:color="auto"/>
      </w:divBdr>
    </w:div>
    <w:div w:id="1981492386">
      <w:bodyDiv w:val="1"/>
      <w:marLeft w:val="0"/>
      <w:marRight w:val="0"/>
      <w:marTop w:val="0"/>
      <w:marBottom w:val="0"/>
      <w:divBdr>
        <w:top w:val="none" w:sz="0" w:space="0" w:color="auto"/>
        <w:left w:val="none" w:sz="0" w:space="0" w:color="auto"/>
        <w:bottom w:val="none" w:sz="0" w:space="0" w:color="auto"/>
        <w:right w:val="none" w:sz="0" w:space="0" w:color="auto"/>
      </w:divBdr>
    </w:div>
    <w:div w:id="206833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0F6EC.543468E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7FE0F8-AE28-4044-B18F-95F710A4F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065ABD5-2C63-441A-B3E3-C78EDC080379}">
  <ds:schemaRefs>
    <ds:schemaRef ds:uri="http://schemas.microsoft.com/sharepoint/v3/contenttype/forms"/>
  </ds:schemaRefs>
</ds:datastoreItem>
</file>

<file path=customXml/itemProps3.xml><?xml version="1.0" encoding="utf-8"?>
<ds:datastoreItem xmlns:ds="http://schemas.openxmlformats.org/officeDocument/2006/customXml" ds:itemID="{6D2D9B80-BF65-4629-852F-920F5AD1D3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MN Dept of Human Services</Company>
  <LinksUpToDate>false</LinksUpToDate>
  <CharactersWithSpaces>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Weeks, Stacie</dc:creator>
  <cp:lastModifiedBy>Schreier, Sandy</cp:lastModifiedBy>
  <cp:revision>2</cp:revision>
  <cp:lastPrinted>2015-09-25T13:24:00Z</cp:lastPrinted>
  <dcterms:created xsi:type="dcterms:W3CDTF">2015-10-01T18:11:00Z</dcterms:created>
  <dcterms:modified xsi:type="dcterms:W3CDTF">2015-10-01T18:11:00Z</dcterms:modified>
</cp:coreProperties>
</file>