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90E5" w14:textId="77777777" w:rsidR="00383739" w:rsidRPr="0034405D" w:rsidRDefault="00383739" w:rsidP="00383739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34405D">
        <w:rPr>
          <w:rFonts w:asciiTheme="minorHAnsi" w:hAnsiTheme="minorHAnsi"/>
        </w:rPr>
        <w:t>Health Care Financing Task Force</w:t>
      </w:r>
    </w:p>
    <w:p w14:paraId="208B90E6" w14:textId="77777777" w:rsidR="00936B3A" w:rsidRPr="00675727" w:rsidRDefault="00936B3A" w:rsidP="00936B3A">
      <w:pPr>
        <w:rPr>
          <w:szCs w:val="22"/>
        </w:rPr>
      </w:pPr>
      <w:r w:rsidRPr="00675727">
        <w:rPr>
          <w:szCs w:val="22"/>
        </w:rPr>
        <w:t>JOINT MEETING: Seamless Coverage &amp; Barriers to Access Workgroups</w:t>
      </w:r>
    </w:p>
    <w:p w14:paraId="208B90E7" w14:textId="77777777" w:rsidR="00936B3A" w:rsidRPr="00675727" w:rsidRDefault="00936B3A" w:rsidP="00936B3A">
      <w:pPr>
        <w:rPr>
          <w:szCs w:val="22"/>
        </w:rPr>
      </w:pPr>
      <w:r w:rsidRPr="00675727">
        <w:rPr>
          <w:szCs w:val="22"/>
        </w:rPr>
        <w:t>Friday, October 2, 2015; 8:30 a.m. – 11:00 a.m.</w:t>
      </w:r>
    </w:p>
    <w:p w14:paraId="208B90E8" w14:textId="77777777" w:rsidR="00936B3A" w:rsidRDefault="00936B3A" w:rsidP="00936B3A">
      <w:pPr>
        <w:rPr>
          <w:szCs w:val="22"/>
        </w:rPr>
      </w:pPr>
      <w:r w:rsidRPr="00675727">
        <w:rPr>
          <w:szCs w:val="22"/>
        </w:rPr>
        <w:t xml:space="preserve">Minnesota State Office Building, Room </w:t>
      </w:r>
      <w:r w:rsidR="009B50AD">
        <w:rPr>
          <w:szCs w:val="22"/>
        </w:rPr>
        <w:t>200 S</w:t>
      </w:r>
    </w:p>
    <w:p w14:paraId="208B90E9" w14:textId="77777777" w:rsidR="00383739" w:rsidRPr="0034405D" w:rsidRDefault="00C44D92" w:rsidP="00383739">
      <w:pPr>
        <w:pStyle w:val="Subtitle"/>
        <w:rPr>
          <w:rFonts w:asciiTheme="minorHAnsi" w:hAnsiTheme="minorHAnsi"/>
        </w:rPr>
      </w:pPr>
      <w:r w:rsidRPr="0034405D">
        <w:rPr>
          <w:rFonts w:asciiTheme="minorHAnsi" w:hAnsiTheme="minorHAnsi"/>
        </w:rPr>
        <w:t>Minutes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Meeting minutes"/>
        <w:tblDescription w:val="Includes item, presenter, discussion and resolution"/>
      </w:tblPr>
      <w:tblGrid>
        <w:gridCol w:w="3235"/>
        <w:gridCol w:w="1710"/>
        <w:gridCol w:w="5845"/>
      </w:tblGrid>
      <w:tr w:rsidR="00C44D92" w:rsidRPr="00383739" w14:paraId="208B90ED" w14:textId="77777777" w:rsidTr="00C44D92">
        <w:trPr>
          <w:tblHeader/>
        </w:trPr>
        <w:tc>
          <w:tcPr>
            <w:tcW w:w="3235" w:type="dxa"/>
          </w:tcPr>
          <w:p w14:paraId="208B90EA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1710" w:type="dxa"/>
          </w:tcPr>
          <w:p w14:paraId="208B90EB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  <w:tc>
          <w:tcPr>
            <w:tcW w:w="5845" w:type="dxa"/>
          </w:tcPr>
          <w:p w14:paraId="208B90EC" w14:textId="77777777" w:rsidR="00C44D92" w:rsidRPr="00383739" w:rsidRDefault="00C44D92" w:rsidP="00C44D9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/Resolution </w:t>
            </w:r>
          </w:p>
        </w:tc>
      </w:tr>
      <w:tr w:rsidR="005E3DE6" w14:paraId="208B90F1" w14:textId="77777777" w:rsidTr="00C44D92">
        <w:tc>
          <w:tcPr>
            <w:tcW w:w="3235" w:type="dxa"/>
          </w:tcPr>
          <w:p w14:paraId="208B90EE" w14:textId="77777777" w:rsidR="005E3DE6" w:rsidRPr="001B3332" w:rsidRDefault="005E3DE6" w:rsidP="001B15A4">
            <w:pPr>
              <w:rPr>
                <w:b/>
                <w:szCs w:val="22"/>
              </w:rPr>
            </w:pPr>
            <w:r w:rsidRPr="005E3DE6">
              <w:rPr>
                <w:b/>
                <w:szCs w:val="22"/>
              </w:rPr>
              <w:t>Introductions/Joint Session Overview</w:t>
            </w:r>
          </w:p>
        </w:tc>
        <w:tc>
          <w:tcPr>
            <w:tcW w:w="1710" w:type="dxa"/>
          </w:tcPr>
          <w:p w14:paraId="208B90EF" w14:textId="77777777" w:rsidR="005E3DE6" w:rsidRDefault="005E3DE6" w:rsidP="001B15A4">
            <w:r>
              <w:t>Lynn Blewett,</w:t>
            </w:r>
            <w:r w:rsidR="001F330A">
              <w:t xml:space="preserve"> PhD, </w:t>
            </w:r>
            <w:r>
              <w:t>Marilyn Pietso</w:t>
            </w:r>
            <w:r w:rsidR="001B1BB2">
              <w:t>, MD</w:t>
            </w:r>
          </w:p>
        </w:tc>
        <w:tc>
          <w:tcPr>
            <w:tcW w:w="5845" w:type="dxa"/>
          </w:tcPr>
          <w:p w14:paraId="208B90F0" w14:textId="77777777" w:rsidR="005E3DE6" w:rsidRDefault="00CB2FAB" w:rsidP="00CB2FAB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The Seamless Coverage and Barriers to Access Workgroup </w:t>
            </w:r>
            <w:r w:rsidR="001B1BB2">
              <w:rPr>
                <w:szCs w:val="22"/>
              </w:rPr>
              <w:t>co-</w:t>
            </w:r>
            <w:r>
              <w:rPr>
                <w:szCs w:val="22"/>
              </w:rPr>
              <w:t>leads opened the joint meeting. The Seamless Coverage and Barriers to Access Workgroup</w:t>
            </w:r>
            <w:r w:rsidR="001B1BB2">
              <w:rPr>
                <w:szCs w:val="22"/>
              </w:rPr>
              <w:t>s</w:t>
            </w:r>
            <w:r>
              <w:rPr>
                <w:szCs w:val="22"/>
              </w:rPr>
              <w:t xml:space="preserve"> will </w:t>
            </w:r>
            <w:r w:rsidR="00E71A49">
              <w:rPr>
                <w:szCs w:val="22"/>
              </w:rPr>
              <w:t>convene</w:t>
            </w:r>
            <w:r>
              <w:rPr>
                <w:szCs w:val="22"/>
              </w:rPr>
              <w:t xml:space="preserve"> </w:t>
            </w:r>
            <w:r w:rsidR="00056FAA">
              <w:rPr>
                <w:szCs w:val="22"/>
              </w:rPr>
              <w:t xml:space="preserve">select meetings </w:t>
            </w:r>
            <w:r>
              <w:rPr>
                <w:szCs w:val="22"/>
              </w:rPr>
              <w:t xml:space="preserve">jointly to advance </w:t>
            </w:r>
            <w:r w:rsidR="00056FAA">
              <w:rPr>
                <w:szCs w:val="22"/>
              </w:rPr>
              <w:t>recommendations on</w:t>
            </w:r>
            <w:r>
              <w:rPr>
                <w:szCs w:val="22"/>
              </w:rPr>
              <w:t xml:space="preserve"> promoting a seamless coverage continuum and reducing financial barriers across the coverage continuum.</w:t>
            </w:r>
          </w:p>
        </w:tc>
      </w:tr>
      <w:tr w:rsidR="00C44D92" w14:paraId="208B90FA" w14:textId="77777777" w:rsidTr="00C44D92">
        <w:tc>
          <w:tcPr>
            <w:tcW w:w="3235" w:type="dxa"/>
          </w:tcPr>
          <w:p w14:paraId="208B90F2" w14:textId="77777777" w:rsidR="00C44D92" w:rsidRPr="00936B3A" w:rsidRDefault="00167440" w:rsidP="001B15A4">
            <w:pPr>
              <w:rPr>
                <w:b/>
                <w:szCs w:val="22"/>
              </w:rPr>
            </w:pPr>
            <w:r w:rsidRPr="00167440">
              <w:rPr>
                <w:b/>
                <w:szCs w:val="22"/>
              </w:rPr>
              <w:t>Options/Considerations for Seamless Coverage and Reduced Financial Barriers in Minnesota</w:t>
            </w:r>
          </w:p>
        </w:tc>
        <w:tc>
          <w:tcPr>
            <w:tcW w:w="1710" w:type="dxa"/>
          </w:tcPr>
          <w:p w14:paraId="208B90F3" w14:textId="77777777" w:rsidR="00C44D92" w:rsidRDefault="00936B3A" w:rsidP="001B15A4">
            <w:r>
              <w:t>Manatt</w:t>
            </w:r>
          </w:p>
        </w:tc>
        <w:tc>
          <w:tcPr>
            <w:tcW w:w="5845" w:type="dxa"/>
          </w:tcPr>
          <w:p w14:paraId="208B90F4" w14:textId="77777777" w:rsidR="006B560C" w:rsidRDefault="008B0BFC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i/>
                <w:szCs w:val="22"/>
              </w:rPr>
              <w:t>See Manatt presentation.</w:t>
            </w:r>
          </w:p>
          <w:p w14:paraId="208B90F5" w14:textId="77777777" w:rsidR="00360125" w:rsidRDefault="00345C6B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 w:rsidRPr="006B560C">
              <w:rPr>
                <w:szCs w:val="22"/>
              </w:rPr>
              <w:t xml:space="preserve">Patricia Boozang of Manatt presented on the potential </w:t>
            </w:r>
            <w:r w:rsidR="008B0BFC" w:rsidRPr="0058322B">
              <w:rPr>
                <w:szCs w:val="22"/>
              </w:rPr>
              <w:t xml:space="preserve">financial </w:t>
            </w:r>
            <w:r w:rsidRPr="0058322B">
              <w:rPr>
                <w:szCs w:val="22"/>
              </w:rPr>
              <w:t>cliffs</w:t>
            </w:r>
            <w:r w:rsidR="008B0BFC" w:rsidRPr="0058322B">
              <w:rPr>
                <w:szCs w:val="22"/>
              </w:rPr>
              <w:t xml:space="preserve"> across Medical Assistance, MinnesotaCare and QHP coverage through MNsure</w:t>
            </w:r>
            <w:r w:rsidR="008B0BFC" w:rsidRPr="00C36C99">
              <w:rPr>
                <w:szCs w:val="22"/>
              </w:rPr>
              <w:t>. She noted that Minnesota has been an early m</w:t>
            </w:r>
            <w:r w:rsidR="008B0BFC" w:rsidRPr="00314455">
              <w:rPr>
                <w:szCs w:val="22"/>
              </w:rPr>
              <w:t>over in providing</w:t>
            </w:r>
            <w:r w:rsidR="008B0BFC" w:rsidRPr="006B560C">
              <w:rPr>
                <w:szCs w:val="22"/>
              </w:rPr>
              <w:t xml:space="preserve"> affordable comprehensive coverage</w:t>
            </w:r>
            <w:r w:rsidR="00360125" w:rsidRPr="006B560C">
              <w:rPr>
                <w:szCs w:val="22"/>
              </w:rPr>
              <w:t xml:space="preserve"> with</w:t>
            </w:r>
            <w:r w:rsidR="008B0BFC" w:rsidRPr="006B560C">
              <w:rPr>
                <w:szCs w:val="22"/>
              </w:rPr>
              <w:t xml:space="preserve"> MinnesotaCare</w:t>
            </w:r>
            <w:r w:rsidR="00360125" w:rsidRPr="006B560C">
              <w:rPr>
                <w:szCs w:val="22"/>
              </w:rPr>
              <w:t xml:space="preserve"> enhancing affordability for consumers between 139-200% FPL</w:t>
            </w:r>
            <w:r w:rsidR="008B0BFC" w:rsidRPr="006B560C">
              <w:rPr>
                <w:szCs w:val="22"/>
              </w:rPr>
              <w:t>.</w:t>
            </w:r>
            <w:r w:rsidR="00360125" w:rsidRPr="006B560C">
              <w:rPr>
                <w:szCs w:val="22"/>
              </w:rPr>
              <w:t xml:space="preserve"> She presented three options for improving coverage affordability</w:t>
            </w:r>
            <w:r w:rsidR="006B560C" w:rsidRPr="006B560C">
              <w:rPr>
                <w:szCs w:val="22"/>
              </w:rPr>
              <w:t xml:space="preserve"> – (1) </w:t>
            </w:r>
            <w:r w:rsidR="00360125" w:rsidRPr="006B560C">
              <w:rPr>
                <w:szCs w:val="22"/>
              </w:rPr>
              <w:t>Increase subsidies to consumers with incomes 139-200% FPL</w:t>
            </w:r>
            <w:r w:rsidR="006B560C" w:rsidRPr="006B560C">
              <w:rPr>
                <w:szCs w:val="22"/>
              </w:rPr>
              <w:t xml:space="preserve">; (2) </w:t>
            </w:r>
            <w:r w:rsidR="00360125" w:rsidRPr="006B560C">
              <w:rPr>
                <w:szCs w:val="22"/>
              </w:rPr>
              <w:t>Expand subsidies to consumers with incomes 200-275% FPL</w:t>
            </w:r>
            <w:r w:rsidR="006B560C" w:rsidRPr="006B560C">
              <w:rPr>
                <w:szCs w:val="22"/>
              </w:rPr>
              <w:t xml:space="preserve">; (3) </w:t>
            </w:r>
            <w:r w:rsidR="00360125" w:rsidRPr="006B560C">
              <w:rPr>
                <w:szCs w:val="22"/>
              </w:rPr>
              <w:t>Do both: Increase subsidies for 139-200% FPL and expand to 275% FPL</w:t>
            </w:r>
            <w:r w:rsidR="006B560C" w:rsidRPr="006B560C">
              <w:rPr>
                <w:szCs w:val="22"/>
              </w:rPr>
              <w:t xml:space="preserve"> – through implementation models – (1) current model; (2) consolidation of MinnesotaCare and Medical Assistance; and (3) consolidation of</w:t>
            </w:r>
            <w:r w:rsidR="00360125" w:rsidRPr="006B560C">
              <w:rPr>
                <w:szCs w:val="22"/>
              </w:rPr>
              <w:t xml:space="preserve"> MinnesotaCare in the Marketplace</w:t>
            </w:r>
            <w:r w:rsidR="006B560C">
              <w:rPr>
                <w:rFonts w:eastAsia="Times New Roman" w:cs="Times New Roman"/>
                <w:szCs w:val="22"/>
              </w:rPr>
              <w:t>.</w:t>
            </w:r>
          </w:p>
          <w:p w14:paraId="208B90F6" w14:textId="77777777" w:rsidR="00341D66" w:rsidRPr="00AC3FE2" w:rsidRDefault="00341D66" w:rsidP="001B1BB2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In assessing options and developing preliminary recommendations, the workgroups discussed several priorities, including the impact on health disparities, state resources, individual and employer sponsored coverage market, and providers. </w:t>
            </w:r>
            <w:r w:rsidRPr="00AC3FE2">
              <w:rPr>
                <w:szCs w:val="22"/>
              </w:rPr>
              <w:t>Workgroup members also raised the importance of actuarial model</w:t>
            </w:r>
            <w:r w:rsidR="001B1BB2">
              <w:rPr>
                <w:szCs w:val="22"/>
              </w:rPr>
              <w:t>ing</w:t>
            </w:r>
            <w:r w:rsidRPr="00AC3FE2">
              <w:rPr>
                <w:szCs w:val="22"/>
              </w:rPr>
              <w:t xml:space="preserve"> of options</w:t>
            </w:r>
            <w:r>
              <w:rPr>
                <w:szCs w:val="22"/>
              </w:rPr>
              <w:t xml:space="preserve">, particularly in light of Congressional Budget Office </w:t>
            </w:r>
            <w:r>
              <w:rPr>
                <w:szCs w:val="22"/>
              </w:rPr>
              <w:lastRenderedPageBreak/>
              <w:t>involvement in 1332 waivers,</w:t>
            </w:r>
            <w:r w:rsidRPr="00AC3FE2">
              <w:rPr>
                <w:szCs w:val="22"/>
              </w:rPr>
              <w:t xml:space="preserve"> to inform Task Force decision</w:t>
            </w:r>
            <w:r w:rsidR="001B1BB2">
              <w:rPr>
                <w:szCs w:val="22"/>
              </w:rPr>
              <w:t>-</w:t>
            </w:r>
            <w:r w:rsidRPr="00AC3FE2">
              <w:rPr>
                <w:szCs w:val="22"/>
              </w:rPr>
              <w:t>making.</w:t>
            </w:r>
          </w:p>
          <w:p w14:paraId="208B90F7" w14:textId="77777777" w:rsidR="0058322B" w:rsidRDefault="0058322B" w:rsidP="006B560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Ms. Boozang</w:t>
            </w:r>
            <w:r w:rsidR="006B560C">
              <w:rPr>
                <w:rFonts w:eastAsia="Times New Roman" w:cs="Times New Roman"/>
                <w:szCs w:val="22"/>
              </w:rPr>
              <w:t xml:space="preserve"> also reviewed</w:t>
            </w:r>
            <w:r w:rsidR="00E4727B">
              <w:rPr>
                <w:rFonts w:eastAsia="Times New Roman" w:cs="Times New Roman"/>
                <w:szCs w:val="22"/>
              </w:rPr>
              <w:t xml:space="preserve"> </w:t>
            </w:r>
            <w:r w:rsidR="006B560C">
              <w:rPr>
                <w:rFonts w:eastAsia="Times New Roman" w:cs="Times New Roman"/>
                <w:szCs w:val="22"/>
              </w:rPr>
              <w:t>alternative Medicaid mode</w:t>
            </w:r>
            <w:r>
              <w:rPr>
                <w:rFonts w:eastAsia="Times New Roman" w:cs="Times New Roman"/>
                <w:szCs w:val="22"/>
              </w:rPr>
              <w:t xml:space="preserve">ls for </w:t>
            </w:r>
            <w:r w:rsidR="00E4727B">
              <w:rPr>
                <w:rFonts w:eastAsia="Times New Roman" w:cs="Times New Roman"/>
                <w:szCs w:val="22"/>
              </w:rPr>
              <w:t xml:space="preserve">covering </w:t>
            </w:r>
            <w:r>
              <w:rPr>
                <w:rFonts w:eastAsia="Times New Roman" w:cs="Times New Roman"/>
                <w:szCs w:val="22"/>
              </w:rPr>
              <w:t xml:space="preserve">consumers under 138% FPL, noting key differences between Minnesota and states that pursued these models (e.g., extremely low income eligibility levels for parents and childless adults, fee-for-service environment). </w:t>
            </w:r>
          </w:p>
          <w:p w14:paraId="208B90F8" w14:textId="77777777" w:rsidR="00341D66" w:rsidRPr="00AC3FE2" w:rsidRDefault="00341D66" w:rsidP="001B1BB2">
            <w:pPr>
              <w:pStyle w:val="ListParagraph"/>
              <w:numPr>
                <w:ilvl w:val="1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Workgroup members</w:t>
            </w:r>
            <w:r w:rsidRPr="00AC3FE2">
              <w:rPr>
                <w:szCs w:val="22"/>
              </w:rPr>
              <w:t xml:space="preserve"> requested </w:t>
            </w:r>
            <w:r>
              <w:rPr>
                <w:szCs w:val="22"/>
              </w:rPr>
              <w:t xml:space="preserve">additional details on the </w:t>
            </w:r>
            <w:r w:rsidRPr="00AC3FE2">
              <w:rPr>
                <w:szCs w:val="22"/>
              </w:rPr>
              <w:t>Indiana POWER account in the State’s premium assistance model, and</w:t>
            </w:r>
            <w:r>
              <w:rPr>
                <w:szCs w:val="22"/>
              </w:rPr>
              <w:t xml:space="preserve"> of </w:t>
            </w:r>
            <w:r w:rsidRPr="00AC3FE2">
              <w:rPr>
                <w:szCs w:val="22"/>
              </w:rPr>
              <w:t>other similar HSA approaches</w:t>
            </w:r>
            <w:r>
              <w:rPr>
                <w:szCs w:val="22"/>
              </w:rPr>
              <w:t>.</w:t>
            </w:r>
          </w:p>
          <w:p w14:paraId="208B90F9" w14:textId="77777777" w:rsidR="00E90A6C" w:rsidRPr="00936B3A" w:rsidRDefault="0058322B" w:rsidP="0046778D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 w:rsidRPr="00E71A49">
              <w:rPr>
                <w:szCs w:val="22"/>
              </w:rPr>
              <w:t xml:space="preserve">Finally, Ms. Boozang </w:t>
            </w:r>
            <w:r w:rsidR="005C6630" w:rsidRPr="00E71A49">
              <w:rPr>
                <w:szCs w:val="22"/>
              </w:rPr>
              <w:t xml:space="preserve">presented </w:t>
            </w:r>
            <w:r w:rsidR="0046778D">
              <w:rPr>
                <w:szCs w:val="22"/>
              </w:rPr>
              <w:t xml:space="preserve">an </w:t>
            </w:r>
            <w:r w:rsidR="00557369">
              <w:rPr>
                <w:rFonts w:eastAsia="Times New Roman" w:cs="Times New Roman"/>
                <w:szCs w:val="22"/>
              </w:rPr>
              <w:t xml:space="preserve"> </w:t>
            </w:r>
            <w:r w:rsidR="005C6630" w:rsidRPr="00E71A49">
              <w:rPr>
                <w:szCs w:val="22"/>
              </w:rPr>
              <w:t>additional option for smoothing financial cliff</w:t>
            </w:r>
            <w:r w:rsidR="0046778D">
              <w:rPr>
                <w:szCs w:val="22"/>
              </w:rPr>
              <w:t xml:space="preserve"> through</w:t>
            </w:r>
            <w:r w:rsidR="00AB7371">
              <w:rPr>
                <w:szCs w:val="22"/>
              </w:rPr>
              <w:t xml:space="preserve"> </w:t>
            </w:r>
            <w:r w:rsidR="005C6630" w:rsidRPr="00E71A49">
              <w:rPr>
                <w:szCs w:val="22"/>
              </w:rPr>
              <w:t>rationalizing the</w:t>
            </w:r>
            <w:r w:rsidR="0046778D">
              <w:rPr>
                <w:szCs w:val="22"/>
              </w:rPr>
              <w:t xml:space="preserve"> definition of access to</w:t>
            </w:r>
            <w:r w:rsidR="005C6630" w:rsidRPr="00E71A49">
              <w:rPr>
                <w:szCs w:val="22"/>
              </w:rPr>
              <w:t xml:space="preserve"> </w:t>
            </w:r>
            <w:r w:rsidR="0046778D">
              <w:rPr>
                <w:szCs w:val="22"/>
              </w:rPr>
              <w:t>affordability coverage (or “fixing the family glitch”)</w:t>
            </w:r>
            <w:r w:rsidR="005C6630" w:rsidRPr="00E71A49">
              <w:rPr>
                <w:szCs w:val="22"/>
              </w:rPr>
              <w:t>.</w:t>
            </w:r>
          </w:p>
        </w:tc>
      </w:tr>
      <w:tr w:rsidR="00167440" w14:paraId="208B9107" w14:textId="77777777" w:rsidTr="00C44D92">
        <w:tc>
          <w:tcPr>
            <w:tcW w:w="3235" w:type="dxa"/>
          </w:tcPr>
          <w:p w14:paraId="208B90FB" w14:textId="77777777" w:rsidR="00167440" w:rsidRDefault="00167440" w:rsidP="001B15A4">
            <w:pPr>
              <w:rPr>
                <w:b/>
              </w:rPr>
            </w:pPr>
            <w:r w:rsidRPr="00167440">
              <w:rPr>
                <w:b/>
              </w:rPr>
              <w:lastRenderedPageBreak/>
              <w:t>Discuss Options and Preliminary Recommendations</w:t>
            </w:r>
          </w:p>
        </w:tc>
        <w:tc>
          <w:tcPr>
            <w:tcW w:w="1710" w:type="dxa"/>
          </w:tcPr>
          <w:p w14:paraId="208B90FC" w14:textId="77777777" w:rsidR="00167440" w:rsidRDefault="00167440" w:rsidP="001B15A4"/>
        </w:tc>
        <w:tc>
          <w:tcPr>
            <w:tcW w:w="5845" w:type="dxa"/>
          </w:tcPr>
          <w:p w14:paraId="208B90FD" w14:textId="77777777" w:rsidR="00F62838" w:rsidRDefault="00C957A5" w:rsidP="0023423E">
            <w:pPr>
              <w:pStyle w:val="ListParagraph"/>
              <w:numPr>
                <w:ilvl w:val="0"/>
                <w:numId w:val="12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The workgroup</w:t>
            </w:r>
            <w:r w:rsidR="00341D66">
              <w:rPr>
                <w:szCs w:val="22"/>
              </w:rPr>
              <w:t>s</w:t>
            </w:r>
            <w:r w:rsidR="0046778D">
              <w:rPr>
                <w:szCs w:val="22"/>
              </w:rPr>
              <w:t>’</w:t>
            </w:r>
            <w:r>
              <w:rPr>
                <w:szCs w:val="22"/>
              </w:rPr>
              <w:t xml:space="preserve"> </w:t>
            </w:r>
            <w:r w:rsidR="00E4727B">
              <w:rPr>
                <w:szCs w:val="22"/>
              </w:rPr>
              <w:t xml:space="preserve">discussion </w:t>
            </w:r>
            <w:r w:rsidR="00F62838">
              <w:rPr>
                <w:szCs w:val="22"/>
              </w:rPr>
              <w:t xml:space="preserve">centered on three </w:t>
            </w:r>
            <w:r w:rsidR="00E4727B">
              <w:rPr>
                <w:szCs w:val="22"/>
              </w:rPr>
              <w:t xml:space="preserve">preliminary </w:t>
            </w:r>
            <w:r w:rsidR="00F62838">
              <w:rPr>
                <w:szCs w:val="22"/>
              </w:rPr>
              <w:t>recommendations</w:t>
            </w:r>
            <w:r w:rsidR="00341D66">
              <w:rPr>
                <w:szCs w:val="22"/>
              </w:rPr>
              <w:t>:</w:t>
            </w:r>
          </w:p>
          <w:p w14:paraId="208B90FE" w14:textId="77777777" w:rsidR="006B5B9F" w:rsidRPr="001B1BB2" w:rsidRDefault="00F62838" w:rsidP="001B1BB2">
            <w:pPr>
              <w:pStyle w:val="ListParagraph"/>
              <w:numPr>
                <w:ilvl w:val="1"/>
                <w:numId w:val="12"/>
              </w:numPr>
              <w:spacing w:after="0"/>
            </w:pPr>
            <w:r w:rsidRPr="001B1BB2">
              <w:rPr>
                <w:i/>
              </w:rPr>
              <w:t>Explore options for reducing the cliff.</w:t>
            </w:r>
            <w:r w:rsidRPr="001B1BB2">
              <w:t xml:space="preserve"> Th</w:t>
            </w:r>
            <w:r w:rsidR="008D7E81">
              <w:t>e workgroup</w:t>
            </w:r>
            <w:r w:rsidR="00F26C48">
              <w:t>s</w:t>
            </w:r>
            <w:r w:rsidR="008D7E81">
              <w:t xml:space="preserve"> </w:t>
            </w:r>
            <w:r w:rsidR="00E4727B">
              <w:t xml:space="preserve">agreed on a preliminary recommendation related to reducing the financial cliff in premiums and out of pocket costs at 200% FPL. The members </w:t>
            </w:r>
            <w:r w:rsidR="008D7E81">
              <w:t xml:space="preserve">discussed </w:t>
            </w:r>
            <w:r w:rsidR="00E4727B">
              <w:t xml:space="preserve">several options for addressing this cliff including: (1) </w:t>
            </w:r>
            <w:r w:rsidR="008D7E81">
              <w:t>increasing current subsidies and expanding availability of subsidies up to 275% FPL</w:t>
            </w:r>
            <w:r w:rsidR="00155822">
              <w:t>, potentially</w:t>
            </w:r>
            <w:r w:rsidR="00F26C48">
              <w:t xml:space="preserve"> using 1115 and 1332 waiver vehicles. </w:t>
            </w:r>
            <w:r w:rsidR="006B5B9F">
              <w:t xml:space="preserve">Workgroup members also expressed interest in exploring opportunities to establish </w:t>
            </w:r>
            <w:r w:rsidR="00155822">
              <w:t xml:space="preserve">health or medical </w:t>
            </w:r>
            <w:r w:rsidR="006B5B9F">
              <w:t xml:space="preserve">savings accounts or other healthy behavior/consumer empowerment mechanisms.  </w:t>
            </w:r>
            <w:r w:rsidR="004D7730">
              <w:t>Workgroup member</w:t>
            </w:r>
            <w:r w:rsidR="006B5B9F">
              <w:t>s</w:t>
            </w:r>
            <w:r w:rsidR="004D7730">
              <w:t xml:space="preserve"> raised considerations for long-term sustainability and potential trade-offs. </w:t>
            </w:r>
          </w:p>
          <w:p w14:paraId="208B90FF" w14:textId="77777777" w:rsidR="0046778D" w:rsidRDefault="0046778D" w:rsidP="00AB7371">
            <w:pPr>
              <w:pStyle w:val="ListParagraph"/>
              <w:numPr>
                <w:ilvl w:val="1"/>
                <w:numId w:val="12"/>
              </w:numPr>
              <w:spacing w:after="0"/>
            </w:pPr>
            <w:r w:rsidRPr="001B1BB2">
              <w:rPr>
                <w:i/>
              </w:rPr>
              <w:t xml:space="preserve">Investigate consolidating </w:t>
            </w:r>
            <w:r>
              <w:rPr>
                <w:i/>
              </w:rPr>
              <w:t>MinnesotaCare with Medicaid with Medical Assistance</w:t>
            </w:r>
            <w:r w:rsidRPr="001B1BB2">
              <w:rPr>
                <w:i/>
              </w:rPr>
              <w:t>.</w:t>
            </w:r>
            <w:r w:rsidRPr="004D7730">
              <w:t>The workgroups</w:t>
            </w:r>
            <w:r>
              <w:t xml:space="preserve"> agreed that the option of consolidating MinnesotaCare into the Medical Assistance program merits further investigation by the Seamlessness Workgroup. </w:t>
            </w:r>
          </w:p>
          <w:p w14:paraId="208B9100" w14:textId="77777777" w:rsidR="004D7730" w:rsidRDefault="00113696" w:rsidP="001B1BB2">
            <w:pPr>
              <w:pStyle w:val="ListParagraph"/>
              <w:numPr>
                <w:ilvl w:val="1"/>
                <w:numId w:val="12"/>
              </w:numPr>
              <w:spacing w:after="0"/>
            </w:pPr>
            <w:r w:rsidRPr="001B1BB2">
              <w:rPr>
                <w:i/>
              </w:rPr>
              <w:t>Investigate</w:t>
            </w:r>
            <w:r w:rsidR="0074353E">
              <w:rPr>
                <w:i/>
              </w:rPr>
              <w:t xml:space="preserve"> consolidating Minnesota</w:t>
            </w:r>
            <w:r w:rsidRPr="001B1BB2">
              <w:rPr>
                <w:i/>
              </w:rPr>
              <w:t xml:space="preserve">Care into the Marketplace. </w:t>
            </w:r>
            <w:r w:rsidR="00F26C48" w:rsidRPr="004D7730">
              <w:t>The workgroups</w:t>
            </w:r>
            <w:r w:rsidR="0074353E">
              <w:t xml:space="preserve"> </w:t>
            </w:r>
            <w:r w:rsidR="00155822">
              <w:t xml:space="preserve">agreed that the option of consolidating MinnesotaCare into the Marketplace merits further investigation by the Seamlessness Workgroup. Workgroup members noted </w:t>
            </w:r>
            <w:r w:rsidR="0074353E">
              <w:t xml:space="preserve">that the Marketplace </w:t>
            </w:r>
            <w:r w:rsidR="00155822">
              <w:t xml:space="preserve">model in Minnesota </w:t>
            </w:r>
            <w:r w:rsidR="0074353E">
              <w:t xml:space="preserve">could </w:t>
            </w:r>
            <w:r w:rsidR="00155822">
              <w:t xml:space="preserve">remain </w:t>
            </w:r>
            <w:r w:rsidR="0074353E">
              <w:t>the current state-based model</w:t>
            </w:r>
            <w:r w:rsidR="00155822">
              <w:t xml:space="preserve"> or transition to a </w:t>
            </w:r>
            <w:r w:rsidR="0074353E">
              <w:t>future state</w:t>
            </w:r>
            <w:r w:rsidR="00155822">
              <w:t xml:space="preserve"> or federally </w:t>
            </w:r>
            <w:r w:rsidR="0074353E">
              <w:t xml:space="preserve">-based </w:t>
            </w:r>
            <w:r w:rsidR="0074353E">
              <w:lastRenderedPageBreak/>
              <w:t>model.</w:t>
            </w:r>
            <w:r w:rsidR="00706FA2">
              <w:t xml:space="preserve"> </w:t>
            </w:r>
            <w:r w:rsidR="00542B7C">
              <w:rPr>
                <w:szCs w:val="22"/>
              </w:rPr>
              <w:t>M</w:t>
            </w:r>
            <w:r w:rsidR="00706FA2" w:rsidRPr="008768E8">
              <w:rPr>
                <w:szCs w:val="22"/>
              </w:rPr>
              <w:t>ember</w:t>
            </w:r>
            <w:r w:rsidR="00542B7C">
              <w:rPr>
                <w:szCs w:val="22"/>
              </w:rPr>
              <w:t>s</w:t>
            </w:r>
            <w:r w:rsidR="00706FA2" w:rsidRPr="008768E8">
              <w:rPr>
                <w:szCs w:val="22"/>
              </w:rPr>
              <w:t xml:space="preserve"> </w:t>
            </w:r>
            <w:r w:rsidR="00542B7C">
              <w:rPr>
                <w:szCs w:val="22"/>
              </w:rPr>
              <w:t>raised</w:t>
            </w:r>
            <w:r w:rsidR="00706FA2" w:rsidRPr="008768E8">
              <w:rPr>
                <w:szCs w:val="22"/>
              </w:rPr>
              <w:t xml:space="preserve"> </w:t>
            </w:r>
            <w:r w:rsidR="00706FA2">
              <w:rPr>
                <w:szCs w:val="22"/>
              </w:rPr>
              <w:t xml:space="preserve">concerns </w:t>
            </w:r>
            <w:r w:rsidR="00542B7C">
              <w:rPr>
                <w:szCs w:val="22"/>
              </w:rPr>
              <w:t>about</w:t>
            </w:r>
            <w:r w:rsidR="00706FA2" w:rsidRPr="008768E8">
              <w:rPr>
                <w:szCs w:val="22"/>
              </w:rPr>
              <w:t xml:space="preserve"> MNsure</w:t>
            </w:r>
            <w:r w:rsidR="00542B7C">
              <w:rPr>
                <w:szCs w:val="22"/>
              </w:rPr>
              <w:t>’s technical challenges and the manual nature of many processes and flagged for consideration the impact of p</w:t>
            </w:r>
            <w:r w:rsidR="00542B7C" w:rsidRPr="008768E8">
              <w:rPr>
                <w:szCs w:val="22"/>
              </w:rPr>
              <w:t>ending</w:t>
            </w:r>
            <w:r w:rsidR="00542B7C">
              <w:rPr>
                <w:szCs w:val="22"/>
              </w:rPr>
              <w:t xml:space="preserve"> legislation to </w:t>
            </w:r>
            <w:r w:rsidR="00542B7C" w:rsidRPr="008768E8">
              <w:rPr>
                <w:szCs w:val="22"/>
              </w:rPr>
              <w:t>allow consumers to obta</w:t>
            </w:r>
            <w:r w:rsidR="00542B7C">
              <w:rPr>
                <w:szCs w:val="22"/>
              </w:rPr>
              <w:t>in subsidies outside of MNsure</w:t>
            </w:r>
            <w:r w:rsidR="00FC5B36">
              <w:rPr>
                <w:szCs w:val="22"/>
              </w:rPr>
              <w:t>.</w:t>
            </w:r>
            <w:r w:rsidR="00EB5ABE">
              <w:rPr>
                <w:szCs w:val="22"/>
              </w:rPr>
              <w:t xml:space="preserve"> It was noted that the future of the Marketplace will be addressed in forthcoming Seamless Workgroup and Task Force meetings.</w:t>
            </w:r>
          </w:p>
          <w:p w14:paraId="208B9101" w14:textId="77777777" w:rsidR="0042287E" w:rsidRPr="001B1BB2" w:rsidRDefault="00341D66" w:rsidP="001B1BB2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 xml:space="preserve">It was noted that federal financing should be considered </w:t>
            </w:r>
            <w:r w:rsidR="00906E92">
              <w:t>independent</w:t>
            </w:r>
            <w:r>
              <w:t xml:space="preserve"> from</w:t>
            </w:r>
            <w:r w:rsidR="00906E92">
              <w:t xml:space="preserve"> the</w:t>
            </w:r>
            <w:r>
              <w:t xml:space="preserve"> </w:t>
            </w:r>
            <w:r w:rsidR="00906E92">
              <w:t xml:space="preserve">options for reducing the cliff and consolidation. </w:t>
            </w:r>
            <w:r w:rsidR="00113696" w:rsidRPr="001B1BB2">
              <w:t>The workgroup</w:t>
            </w:r>
            <w:r w:rsidR="00CD1F9E" w:rsidRPr="000A0D4D">
              <w:t>s</w:t>
            </w:r>
            <w:r w:rsidR="00113696" w:rsidRPr="001B1BB2">
              <w:t xml:space="preserve"> expressed parti</w:t>
            </w:r>
            <w:r w:rsidR="0042287E" w:rsidRPr="000A0D4D">
              <w:t>cular interest in exploring the availability of federal</w:t>
            </w:r>
            <w:r w:rsidR="00113696" w:rsidRPr="001B1BB2">
              <w:t xml:space="preserve"> Medicaid funding</w:t>
            </w:r>
            <w:r w:rsidR="00F26C48" w:rsidRPr="000A0D4D">
              <w:t xml:space="preserve"> and maximization of federal funding overall</w:t>
            </w:r>
            <w:r w:rsidR="00113696" w:rsidRPr="001B1BB2">
              <w:t xml:space="preserve"> to </w:t>
            </w:r>
            <w:r w:rsidR="0042287E" w:rsidRPr="000A0D4D">
              <w:t>support</w:t>
            </w:r>
            <w:r w:rsidR="00113696" w:rsidRPr="001B1BB2">
              <w:t xml:space="preserve"> subsidies aimed at improving affordability and smooth</w:t>
            </w:r>
            <w:r w:rsidR="00F26C48" w:rsidRPr="000A0D4D">
              <w:t>ing</w:t>
            </w:r>
            <w:r w:rsidR="00113696" w:rsidRPr="001B1BB2">
              <w:t xml:space="preserve"> </w:t>
            </w:r>
            <w:r w:rsidR="00F26C48" w:rsidRPr="000A0D4D">
              <w:t>financial cliffs</w:t>
            </w:r>
            <w:r w:rsidR="00113696" w:rsidRPr="001B1BB2">
              <w:t>.</w:t>
            </w:r>
            <w:r w:rsidR="0042287E" w:rsidRPr="000A0D4D">
              <w:t xml:space="preserve"> </w:t>
            </w:r>
            <w:r w:rsidR="0042287E" w:rsidRPr="000A0D4D">
              <w:rPr>
                <w:szCs w:val="22"/>
              </w:rPr>
              <w:t xml:space="preserve">The workgroup requested further exploration of the Massachusetts model in its funding structure and approach. </w:t>
            </w:r>
          </w:p>
          <w:p w14:paraId="208B9102" w14:textId="77777777" w:rsidR="00906E92" w:rsidRPr="001B1BB2" w:rsidRDefault="0042287E" w:rsidP="00AB7371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EB5ABE">
              <w:rPr>
                <w:szCs w:val="22"/>
              </w:rPr>
              <w:t>The workgroup</w:t>
            </w:r>
            <w:r w:rsidR="004D7730" w:rsidRPr="00EB5ABE">
              <w:rPr>
                <w:szCs w:val="22"/>
              </w:rPr>
              <w:t>s</w:t>
            </w:r>
            <w:r w:rsidR="00CD1F9E" w:rsidRPr="00EB5ABE">
              <w:rPr>
                <w:szCs w:val="22"/>
              </w:rPr>
              <w:t xml:space="preserve"> identified</w:t>
            </w:r>
            <w:r w:rsidR="007C6E4D" w:rsidRPr="00EB5ABE">
              <w:rPr>
                <w:szCs w:val="22"/>
              </w:rPr>
              <w:t xml:space="preserve"> as foundational analysis, a comparison </w:t>
            </w:r>
            <w:r w:rsidR="008D7E81" w:rsidRPr="00EB5ABE">
              <w:rPr>
                <w:szCs w:val="22"/>
              </w:rPr>
              <w:t xml:space="preserve">of </w:t>
            </w:r>
            <w:r w:rsidR="007C6E4D" w:rsidRPr="00EB5ABE">
              <w:rPr>
                <w:szCs w:val="22"/>
              </w:rPr>
              <w:t xml:space="preserve">consumer spending at various income levels, on coverage under the ACA, MinnesotaCare, Medical Assistance, and the state employee health plan.  </w:t>
            </w:r>
            <w:r w:rsidR="00BF7D50">
              <w:rPr>
                <w:szCs w:val="22"/>
              </w:rPr>
              <w:t>T</w:t>
            </w:r>
            <w:r w:rsidR="00E165A3" w:rsidRPr="00EB5ABE">
              <w:rPr>
                <w:szCs w:val="22"/>
              </w:rPr>
              <w:t xml:space="preserve">he </w:t>
            </w:r>
            <w:r w:rsidR="007C6E4D" w:rsidRPr="00EB5ABE">
              <w:rPr>
                <w:szCs w:val="22"/>
              </w:rPr>
              <w:t>workgroup</w:t>
            </w:r>
            <w:r w:rsidR="00E165A3" w:rsidRPr="00EB5ABE">
              <w:rPr>
                <w:szCs w:val="22"/>
              </w:rPr>
              <w:t xml:space="preserve">s </w:t>
            </w:r>
            <w:r w:rsidR="00BF7D50">
              <w:rPr>
                <w:szCs w:val="22"/>
              </w:rPr>
              <w:t xml:space="preserve">agreed that </w:t>
            </w:r>
            <w:r w:rsidR="00CD1F9E" w:rsidRPr="00EB5ABE">
              <w:rPr>
                <w:szCs w:val="22"/>
              </w:rPr>
              <w:t>development of a Minnesota-specific</w:t>
            </w:r>
            <w:r w:rsidRPr="001B1BB2">
              <w:rPr>
                <w:szCs w:val="22"/>
              </w:rPr>
              <w:t xml:space="preserve"> affordability scale</w:t>
            </w:r>
            <w:r w:rsidR="00E165A3" w:rsidRPr="00EB5ABE">
              <w:rPr>
                <w:szCs w:val="22"/>
              </w:rPr>
              <w:t xml:space="preserve"> to guide </w:t>
            </w:r>
            <w:r w:rsidR="00EB5ABE" w:rsidRPr="00EB5ABE">
              <w:rPr>
                <w:szCs w:val="22"/>
              </w:rPr>
              <w:t>to policy, program, and financing decisions with regard to Minnesota’s coverage continuum</w:t>
            </w:r>
            <w:r w:rsidR="00BF7D50">
              <w:rPr>
                <w:szCs w:val="22"/>
              </w:rPr>
              <w:t xml:space="preserve"> should be undertaken by the Barriers to Access Workgroup</w:t>
            </w:r>
            <w:r w:rsidR="00EB5ABE">
              <w:rPr>
                <w:szCs w:val="22"/>
              </w:rPr>
              <w:t>.</w:t>
            </w:r>
          </w:p>
          <w:p w14:paraId="208B9103" w14:textId="77777777" w:rsidR="00906E92" w:rsidRPr="001B1BB2" w:rsidRDefault="00906E92" w:rsidP="00AB7371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906E92">
              <w:rPr>
                <w:szCs w:val="22"/>
              </w:rPr>
              <w:t xml:space="preserve">The workgroups also expressed interest in exploring the </w:t>
            </w:r>
            <w:r>
              <w:t>d</w:t>
            </w:r>
            <w:r w:rsidRPr="002D7597">
              <w:t>evelopment of standard plan designs</w:t>
            </w:r>
            <w:r>
              <w:t xml:space="preserve"> (low or no deductible options, in particular)</w:t>
            </w:r>
            <w:r w:rsidRPr="002D7597">
              <w:t xml:space="preserve"> to allow for improved affordability, transparency, and financial literacy, as well as administrative streamlining.</w:t>
            </w:r>
          </w:p>
          <w:p w14:paraId="208B9104" w14:textId="77777777" w:rsidR="00906E92" w:rsidRPr="001B1BB2" w:rsidRDefault="00906E92" w:rsidP="001B1BB2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</w:pPr>
            <w:r w:rsidRPr="001B1BB2">
              <w:t>Finally, the workgroups identified for consideration at a future meeting:</w:t>
            </w:r>
          </w:p>
          <w:p w14:paraId="208B9105" w14:textId="77777777" w:rsidR="00906E92" w:rsidRDefault="00906E92" w:rsidP="001B1BB2">
            <w:pPr>
              <w:pStyle w:val="ListParagraph"/>
              <w:numPr>
                <w:ilvl w:val="1"/>
                <w:numId w:val="12"/>
              </w:numPr>
              <w:spacing w:after="0"/>
              <w:jc w:val="both"/>
            </w:pPr>
            <w:r>
              <w:rPr>
                <w:szCs w:val="22"/>
              </w:rPr>
              <w:t>E</w:t>
            </w:r>
            <w:r w:rsidRPr="00AC3FE2">
              <w:rPr>
                <w:szCs w:val="22"/>
              </w:rPr>
              <w:t>xamples</w:t>
            </w:r>
            <w:r>
              <w:rPr>
                <w:szCs w:val="22"/>
              </w:rPr>
              <w:t xml:space="preserve"> of </w:t>
            </w:r>
            <w:r w:rsidRPr="00AC3FE2">
              <w:rPr>
                <w:szCs w:val="22"/>
              </w:rPr>
              <w:t>other states’ initiatives to address disparities</w:t>
            </w:r>
          </w:p>
          <w:p w14:paraId="208B9106" w14:textId="77777777" w:rsidR="008D7E81" w:rsidRPr="00906E92" w:rsidRDefault="006C712C" w:rsidP="001B1BB2">
            <w:pPr>
              <w:pStyle w:val="ListParagraph"/>
              <w:numPr>
                <w:ilvl w:val="1"/>
                <w:numId w:val="12"/>
              </w:numPr>
              <w:spacing w:after="0"/>
              <w:jc w:val="both"/>
            </w:pPr>
            <w:r>
              <w:t>12-months continuous Medicaid eligibility</w:t>
            </w:r>
          </w:p>
        </w:tc>
      </w:tr>
    </w:tbl>
    <w:p w14:paraId="208B9108" w14:textId="77777777" w:rsidR="00383739" w:rsidRDefault="00383739" w:rsidP="002169AB"/>
    <w:p w14:paraId="208B9109" w14:textId="77777777" w:rsidR="002169AB" w:rsidRPr="00383739" w:rsidRDefault="002169AB" w:rsidP="002169AB">
      <w:pPr>
        <w:spacing w:before="480" w:line="200" w:lineRule="exact"/>
      </w:pPr>
    </w:p>
    <w:sectPr w:rsidR="002169AB" w:rsidRPr="00383739" w:rsidSect="006406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910C" w14:textId="77777777" w:rsidR="004939AD" w:rsidRDefault="004939AD" w:rsidP="003C1BA8">
      <w:r>
        <w:separator/>
      </w:r>
    </w:p>
  </w:endnote>
  <w:endnote w:type="continuationSeparator" w:id="0">
    <w:p w14:paraId="208B910D" w14:textId="77777777" w:rsidR="004939AD" w:rsidRDefault="004939AD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208B910F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3770A7" w:rsidRPr="003770A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08B9110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9112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208B9115" wp14:editId="208B9116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9117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08B9118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08B9115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208B9117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208B9118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B910A" w14:textId="77777777" w:rsidR="004939AD" w:rsidRDefault="004939AD" w:rsidP="003C1BA8">
      <w:r>
        <w:separator/>
      </w:r>
    </w:p>
  </w:footnote>
  <w:footnote w:type="continuationSeparator" w:id="0">
    <w:p w14:paraId="208B910B" w14:textId="77777777" w:rsidR="004939AD" w:rsidRDefault="004939AD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910E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9111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208B9113" wp14:editId="208B9114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309"/>
    <w:multiLevelType w:val="hybridMultilevel"/>
    <w:tmpl w:val="526E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386"/>
    <w:multiLevelType w:val="hybridMultilevel"/>
    <w:tmpl w:val="CB8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AF8"/>
    <w:multiLevelType w:val="hybridMultilevel"/>
    <w:tmpl w:val="B6300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2440651"/>
    <w:multiLevelType w:val="multilevel"/>
    <w:tmpl w:val="8C1EBD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87AF9"/>
    <w:multiLevelType w:val="hybridMultilevel"/>
    <w:tmpl w:val="CC7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0081"/>
    <w:multiLevelType w:val="hybridMultilevel"/>
    <w:tmpl w:val="F410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25E6"/>
    <w:multiLevelType w:val="hybridMultilevel"/>
    <w:tmpl w:val="416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060D"/>
    <w:multiLevelType w:val="hybridMultilevel"/>
    <w:tmpl w:val="A830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593"/>
    <w:multiLevelType w:val="hybridMultilevel"/>
    <w:tmpl w:val="894C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4203"/>
    <w:multiLevelType w:val="hybridMultilevel"/>
    <w:tmpl w:val="828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7265A"/>
    <w:multiLevelType w:val="hybridMultilevel"/>
    <w:tmpl w:val="E4D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669A7"/>
    <w:multiLevelType w:val="hybridMultilevel"/>
    <w:tmpl w:val="161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65FF8"/>
    <w:multiLevelType w:val="hybridMultilevel"/>
    <w:tmpl w:val="E9EA5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83BAB"/>
    <w:multiLevelType w:val="hybridMultilevel"/>
    <w:tmpl w:val="953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7459"/>
    <w:multiLevelType w:val="hybridMultilevel"/>
    <w:tmpl w:val="8790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E7E"/>
    <w:multiLevelType w:val="hybridMultilevel"/>
    <w:tmpl w:val="F594AF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005736"/>
    <w:multiLevelType w:val="hybridMultilevel"/>
    <w:tmpl w:val="F2C88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C6A4077"/>
    <w:multiLevelType w:val="hybridMultilevel"/>
    <w:tmpl w:val="C51EB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7"/>
  </w:num>
  <w:num w:numId="5">
    <w:abstractNumId w:val="26"/>
  </w:num>
  <w:num w:numId="6">
    <w:abstractNumId w:val="5"/>
  </w:num>
  <w:num w:numId="7">
    <w:abstractNumId w:val="0"/>
  </w:num>
  <w:num w:numId="8">
    <w:abstractNumId w:val="21"/>
  </w:num>
  <w:num w:numId="9">
    <w:abstractNumId w:val="16"/>
  </w:num>
  <w:num w:numId="10">
    <w:abstractNumId w:val="25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11"/>
  </w:num>
  <w:num w:numId="21">
    <w:abstractNumId w:val="12"/>
  </w:num>
  <w:num w:numId="22">
    <w:abstractNumId w:val="23"/>
  </w:num>
  <w:num w:numId="23">
    <w:abstractNumId w:val="20"/>
  </w:num>
  <w:num w:numId="24">
    <w:abstractNumId w:val="8"/>
  </w:num>
  <w:num w:numId="25">
    <w:abstractNumId w:val="24"/>
  </w:num>
  <w:num w:numId="26">
    <w:abstractNumId w:val="2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61549.3"/>
    <w:docVar w:name="MPDocIDTemplateDefault" w:val="%n|.%v"/>
    <w:docVar w:name="NewDocStampType" w:val="7"/>
  </w:docVars>
  <w:rsids>
    <w:rsidRoot w:val="004939AD"/>
    <w:rsid w:val="000155CC"/>
    <w:rsid w:val="00016335"/>
    <w:rsid w:val="00032826"/>
    <w:rsid w:val="000408FA"/>
    <w:rsid w:val="00052167"/>
    <w:rsid w:val="00056FAA"/>
    <w:rsid w:val="0006799E"/>
    <w:rsid w:val="000A0D4D"/>
    <w:rsid w:val="000B374F"/>
    <w:rsid w:val="000F7CDE"/>
    <w:rsid w:val="001053D2"/>
    <w:rsid w:val="001111D4"/>
    <w:rsid w:val="00113696"/>
    <w:rsid w:val="00117B4F"/>
    <w:rsid w:val="00155822"/>
    <w:rsid w:val="00167440"/>
    <w:rsid w:val="0018535F"/>
    <w:rsid w:val="001A033C"/>
    <w:rsid w:val="001A7EEC"/>
    <w:rsid w:val="001B15A4"/>
    <w:rsid w:val="001B1BB2"/>
    <w:rsid w:val="001B3332"/>
    <w:rsid w:val="001F330A"/>
    <w:rsid w:val="001F730D"/>
    <w:rsid w:val="00206C5B"/>
    <w:rsid w:val="002169AB"/>
    <w:rsid w:val="0023423E"/>
    <w:rsid w:val="002603D7"/>
    <w:rsid w:val="00261C88"/>
    <w:rsid w:val="00265544"/>
    <w:rsid w:val="00277DF7"/>
    <w:rsid w:val="00282687"/>
    <w:rsid w:val="00293CED"/>
    <w:rsid w:val="00295581"/>
    <w:rsid w:val="002B68CD"/>
    <w:rsid w:val="002D4281"/>
    <w:rsid w:val="002D4C6A"/>
    <w:rsid w:val="00304D1E"/>
    <w:rsid w:val="00314455"/>
    <w:rsid w:val="00325073"/>
    <w:rsid w:val="00326333"/>
    <w:rsid w:val="00335613"/>
    <w:rsid w:val="00341D66"/>
    <w:rsid w:val="0034405D"/>
    <w:rsid w:val="0034528C"/>
    <w:rsid w:val="00345C6B"/>
    <w:rsid w:val="00360125"/>
    <w:rsid w:val="00364DDF"/>
    <w:rsid w:val="003740F5"/>
    <w:rsid w:val="003770A7"/>
    <w:rsid w:val="00377E55"/>
    <w:rsid w:val="00383739"/>
    <w:rsid w:val="003C1BA8"/>
    <w:rsid w:val="003D5334"/>
    <w:rsid w:val="003E0E60"/>
    <w:rsid w:val="003E6EA8"/>
    <w:rsid w:val="003F56DA"/>
    <w:rsid w:val="00404E22"/>
    <w:rsid w:val="0042287E"/>
    <w:rsid w:val="00445928"/>
    <w:rsid w:val="00450668"/>
    <w:rsid w:val="0046778D"/>
    <w:rsid w:val="004939AD"/>
    <w:rsid w:val="004D1AF2"/>
    <w:rsid w:val="004D7730"/>
    <w:rsid w:val="00536750"/>
    <w:rsid w:val="00542B7C"/>
    <w:rsid w:val="00551A5E"/>
    <w:rsid w:val="00551E96"/>
    <w:rsid w:val="00557369"/>
    <w:rsid w:val="00574780"/>
    <w:rsid w:val="0058322B"/>
    <w:rsid w:val="005862F9"/>
    <w:rsid w:val="00587469"/>
    <w:rsid w:val="005B06EE"/>
    <w:rsid w:val="005B7CD7"/>
    <w:rsid w:val="005C6630"/>
    <w:rsid w:val="005E050F"/>
    <w:rsid w:val="005E3DE6"/>
    <w:rsid w:val="005F7F1D"/>
    <w:rsid w:val="006216BA"/>
    <w:rsid w:val="00636BF3"/>
    <w:rsid w:val="006406F9"/>
    <w:rsid w:val="006A6AD4"/>
    <w:rsid w:val="006B560C"/>
    <w:rsid w:val="006B5B9F"/>
    <w:rsid w:val="006C712C"/>
    <w:rsid w:val="006D68DA"/>
    <w:rsid w:val="006F4045"/>
    <w:rsid w:val="006F452E"/>
    <w:rsid w:val="00703A64"/>
    <w:rsid w:val="00706FA2"/>
    <w:rsid w:val="00722009"/>
    <w:rsid w:val="0074353E"/>
    <w:rsid w:val="00762220"/>
    <w:rsid w:val="00763EA4"/>
    <w:rsid w:val="00771D49"/>
    <w:rsid w:val="007A3C8B"/>
    <w:rsid w:val="007A7AC2"/>
    <w:rsid w:val="007B2C83"/>
    <w:rsid w:val="007C3279"/>
    <w:rsid w:val="007C6E4D"/>
    <w:rsid w:val="007E5F17"/>
    <w:rsid w:val="008110BA"/>
    <w:rsid w:val="00833D3E"/>
    <w:rsid w:val="008768E8"/>
    <w:rsid w:val="008859D0"/>
    <w:rsid w:val="008A1053"/>
    <w:rsid w:val="008A541A"/>
    <w:rsid w:val="008B0BFC"/>
    <w:rsid w:val="008D1CC2"/>
    <w:rsid w:val="008D7E81"/>
    <w:rsid w:val="008F70EB"/>
    <w:rsid w:val="0090211C"/>
    <w:rsid w:val="0090518D"/>
    <w:rsid w:val="00906E92"/>
    <w:rsid w:val="00936B3A"/>
    <w:rsid w:val="009437B9"/>
    <w:rsid w:val="00947C0F"/>
    <w:rsid w:val="009A04CD"/>
    <w:rsid w:val="009B406D"/>
    <w:rsid w:val="009B50AD"/>
    <w:rsid w:val="009E5D88"/>
    <w:rsid w:val="00A31069"/>
    <w:rsid w:val="00A47F87"/>
    <w:rsid w:val="00A6759A"/>
    <w:rsid w:val="00AB317C"/>
    <w:rsid w:val="00AB7371"/>
    <w:rsid w:val="00AD5325"/>
    <w:rsid w:val="00AE2B5A"/>
    <w:rsid w:val="00B0757B"/>
    <w:rsid w:val="00B1057B"/>
    <w:rsid w:val="00B12B40"/>
    <w:rsid w:val="00B44004"/>
    <w:rsid w:val="00B80250"/>
    <w:rsid w:val="00BF70E6"/>
    <w:rsid w:val="00BF7D50"/>
    <w:rsid w:val="00C01D07"/>
    <w:rsid w:val="00C10E48"/>
    <w:rsid w:val="00C358AA"/>
    <w:rsid w:val="00C36C99"/>
    <w:rsid w:val="00C4064E"/>
    <w:rsid w:val="00C43AD3"/>
    <w:rsid w:val="00C44D92"/>
    <w:rsid w:val="00C578AD"/>
    <w:rsid w:val="00C71FDC"/>
    <w:rsid w:val="00C95692"/>
    <w:rsid w:val="00C957A5"/>
    <w:rsid w:val="00C959C6"/>
    <w:rsid w:val="00CB2FAB"/>
    <w:rsid w:val="00CD1F9E"/>
    <w:rsid w:val="00D01736"/>
    <w:rsid w:val="00D1547E"/>
    <w:rsid w:val="00D50BC9"/>
    <w:rsid w:val="00D61CCF"/>
    <w:rsid w:val="00D805F2"/>
    <w:rsid w:val="00D86B4A"/>
    <w:rsid w:val="00D91068"/>
    <w:rsid w:val="00D949A3"/>
    <w:rsid w:val="00DB5915"/>
    <w:rsid w:val="00DB6F12"/>
    <w:rsid w:val="00DD67F0"/>
    <w:rsid w:val="00E012E1"/>
    <w:rsid w:val="00E165A3"/>
    <w:rsid w:val="00E23A93"/>
    <w:rsid w:val="00E26E21"/>
    <w:rsid w:val="00E30F11"/>
    <w:rsid w:val="00E470B7"/>
    <w:rsid w:val="00E4727B"/>
    <w:rsid w:val="00E71A49"/>
    <w:rsid w:val="00E90A6C"/>
    <w:rsid w:val="00EB34C4"/>
    <w:rsid w:val="00EB4FB5"/>
    <w:rsid w:val="00EB5ABE"/>
    <w:rsid w:val="00EB6852"/>
    <w:rsid w:val="00EC75DA"/>
    <w:rsid w:val="00F033AB"/>
    <w:rsid w:val="00F219CD"/>
    <w:rsid w:val="00F26C48"/>
    <w:rsid w:val="00F30848"/>
    <w:rsid w:val="00F54DDF"/>
    <w:rsid w:val="00F6030D"/>
    <w:rsid w:val="00F62838"/>
    <w:rsid w:val="00F65C58"/>
    <w:rsid w:val="00F66295"/>
    <w:rsid w:val="00F73EB5"/>
    <w:rsid w:val="00FB4CBA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08B90E5"/>
  <w15:docId w15:val="{C94703C9-547E-49CE-A2AC-C3A10B1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customStyle="1" w:styleId="zzmpTrailerItem">
    <w:name w:val="zzmpTrailerItem"/>
    <w:rsid w:val="000B374F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47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27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27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44056-D747-4C22-AB3B-1E5E6E79E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15DD1-DC21-44BB-B101-63145B2DEE40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F691CF-D8BF-4115-BDE3-DAA337DE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Oconnor, Krista</dc:creator>
  <cp:lastModifiedBy>Schreier, Sandy</cp:lastModifiedBy>
  <cp:revision>2</cp:revision>
  <cp:lastPrinted>2013-11-15T17:36:00Z</cp:lastPrinted>
  <dcterms:created xsi:type="dcterms:W3CDTF">2015-10-14T18:54:00Z</dcterms:created>
  <dcterms:modified xsi:type="dcterms:W3CDTF">2015-10-14T18:54:00Z</dcterms:modified>
</cp:coreProperties>
</file>