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778AC" w14:textId="77777777" w:rsidR="00383739" w:rsidRDefault="00383739" w:rsidP="00C91AF0">
      <w:pPr>
        <w:pStyle w:val="Title"/>
        <w:spacing w:after="0"/>
        <w:rPr>
          <w:rFonts w:asciiTheme="minorHAnsi" w:hAnsiTheme="minorHAnsi"/>
        </w:rPr>
      </w:pPr>
      <w:r w:rsidRPr="0034405D">
        <w:rPr>
          <w:rFonts w:asciiTheme="minorHAnsi" w:hAnsiTheme="minorHAnsi"/>
        </w:rPr>
        <w:t>Health Care Financing Task Force</w:t>
      </w:r>
    </w:p>
    <w:p w14:paraId="10C778AD" w14:textId="77777777" w:rsidR="0023228B" w:rsidRDefault="0023228B" w:rsidP="00936B3A">
      <w:pPr>
        <w:rPr>
          <w:szCs w:val="22"/>
        </w:rPr>
      </w:pPr>
    </w:p>
    <w:p w14:paraId="10C778AE" w14:textId="77777777" w:rsidR="00936B3A" w:rsidRPr="00675727" w:rsidRDefault="00582235" w:rsidP="00936B3A">
      <w:pPr>
        <w:rPr>
          <w:szCs w:val="22"/>
        </w:rPr>
      </w:pPr>
      <w:r>
        <w:rPr>
          <w:szCs w:val="22"/>
        </w:rPr>
        <w:t xml:space="preserve">Joint Session </w:t>
      </w:r>
      <w:r w:rsidR="00936B3A" w:rsidRPr="00675727">
        <w:rPr>
          <w:szCs w:val="22"/>
        </w:rPr>
        <w:t xml:space="preserve">Seamless Coverage &amp; </w:t>
      </w:r>
      <w:r>
        <w:rPr>
          <w:szCs w:val="22"/>
        </w:rPr>
        <w:t>Barriers to Access</w:t>
      </w:r>
      <w:r w:rsidR="00936B3A" w:rsidRPr="00675727">
        <w:rPr>
          <w:szCs w:val="22"/>
        </w:rPr>
        <w:t xml:space="preserve"> Workgroup</w:t>
      </w:r>
    </w:p>
    <w:p w14:paraId="10C778AF" w14:textId="77777777" w:rsidR="00936B3A" w:rsidRPr="00675727" w:rsidRDefault="00582235" w:rsidP="00936B3A">
      <w:pPr>
        <w:rPr>
          <w:szCs w:val="22"/>
        </w:rPr>
      </w:pPr>
      <w:r>
        <w:rPr>
          <w:szCs w:val="22"/>
        </w:rPr>
        <w:t>Friday, October 2, 2015; 10:0</w:t>
      </w:r>
      <w:r w:rsidR="00936B3A" w:rsidRPr="00675727">
        <w:rPr>
          <w:szCs w:val="22"/>
        </w:rPr>
        <w:t>0 a.m. – 11:00 a.m.</w:t>
      </w:r>
    </w:p>
    <w:p w14:paraId="10C778B0" w14:textId="77777777" w:rsidR="00936B3A" w:rsidRDefault="00936B3A" w:rsidP="00936B3A">
      <w:pPr>
        <w:rPr>
          <w:szCs w:val="22"/>
        </w:rPr>
      </w:pPr>
      <w:r w:rsidRPr="00675727">
        <w:rPr>
          <w:szCs w:val="22"/>
        </w:rPr>
        <w:t xml:space="preserve">Minnesota State Office Building, Room </w:t>
      </w:r>
      <w:r w:rsidR="002625B3">
        <w:rPr>
          <w:szCs w:val="22"/>
        </w:rPr>
        <w:t>200</w:t>
      </w:r>
    </w:p>
    <w:p w14:paraId="10C778B1" w14:textId="77777777" w:rsidR="00383739" w:rsidRPr="0034405D" w:rsidRDefault="00C44D92" w:rsidP="00383739">
      <w:pPr>
        <w:pStyle w:val="Subtitle"/>
        <w:rPr>
          <w:rFonts w:asciiTheme="minorHAnsi" w:hAnsiTheme="minorHAnsi"/>
        </w:rPr>
      </w:pPr>
      <w:r w:rsidRPr="0034405D">
        <w:rPr>
          <w:rFonts w:asciiTheme="minorHAnsi" w:hAnsiTheme="minorHAnsi"/>
        </w:rPr>
        <w:t>Minutes</w:t>
      </w:r>
    </w:p>
    <w:tbl>
      <w:tblPr>
        <w:tblStyle w:val="TableGrid"/>
        <w:tblW w:w="10790" w:type="dxa"/>
        <w:tblLook w:val="04A0" w:firstRow="1" w:lastRow="0" w:firstColumn="1" w:lastColumn="0" w:noHBand="0" w:noVBand="1"/>
        <w:tblCaption w:val="Meeting minutes"/>
        <w:tblDescription w:val="Includes item, presenter, discussion and resolution"/>
      </w:tblPr>
      <w:tblGrid>
        <w:gridCol w:w="3235"/>
        <w:gridCol w:w="1710"/>
        <w:gridCol w:w="5845"/>
      </w:tblGrid>
      <w:tr w:rsidR="00C44D92" w:rsidRPr="00383739" w14:paraId="10C778B5" w14:textId="77777777" w:rsidTr="00C44D92">
        <w:trPr>
          <w:tblHeader/>
        </w:trPr>
        <w:tc>
          <w:tcPr>
            <w:tcW w:w="3235" w:type="dxa"/>
          </w:tcPr>
          <w:p w14:paraId="10C778B2" w14:textId="77777777" w:rsidR="00C44D92" w:rsidRPr="00383739" w:rsidRDefault="00C44D92" w:rsidP="00383739">
            <w:pPr>
              <w:pStyle w:val="Heading2"/>
              <w:outlineLvl w:val="1"/>
              <w:rPr>
                <w:b/>
              </w:rPr>
            </w:pPr>
            <w:r w:rsidRPr="00383739">
              <w:rPr>
                <w:b/>
              </w:rPr>
              <w:t>Item</w:t>
            </w:r>
          </w:p>
        </w:tc>
        <w:tc>
          <w:tcPr>
            <w:tcW w:w="1710" w:type="dxa"/>
          </w:tcPr>
          <w:p w14:paraId="10C778B3" w14:textId="77777777" w:rsidR="00C44D92" w:rsidRPr="00383739" w:rsidRDefault="00C44D92" w:rsidP="00383739">
            <w:pPr>
              <w:pStyle w:val="Heading2"/>
              <w:outlineLvl w:val="1"/>
              <w:rPr>
                <w:b/>
              </w:rPr>
            </w:pPr>
            <w:r w:rsidRPr="00383739">
              <w:rPr>
                <w:b/>
              </w:rPr>
              <w:t>Presenter</w:t>
            </w:r>
          </w:p>
        </w:tc>
        <w:tc>
          <w:tcPr>
            <w:tcW w:w="5845" w:type="dxa"/>
          </w:tcPr>
          <w:p w14:paraId="10C778B4" w14:textId="77777777" w:rsidR="00C44D92" w:rsidRPr="00383739" w:rsidRDefault="00C44D92" w:rsidP="00C44D92">
            <w:pPr>
              <w:pStyle w:val="Heading2"/>
              <w:outlineLvl w:val="1"/>
              <w:rPr>
                <w:b/>
              </w:rPr>
            </w:pPr>
            <w:r>
              <w:rPr>
                <w:b/>
              </w:rPr>
              <w:t xml:space="preserve">Discussion /Resolution </w:t>
            </w:r>
          </w:p>
        </w:tc>
      </w:tr>
      <w:tr w:rsidR="005E3DE6" w14:paraId="10C778C5" w14:textId="77777777" w:rsidTr="00C44D92">
        <w:tc>
          <w:tcPr>
            <w:tcW w:w="3235" w:type="dxa"/>
          </w:tcPr>
          <w:p w14:paraId="10C778B6" w14:textId="77777777" w:rsidR="005E3DE6" w:rsidRPr="001B3332" w:rsidRDefault="00194E41" w:rsidP="001B15A4">
            <w:pPr>
              <w:rPr>
                <w:b/>
                <w:szCs w:val="22"/>
              </w:rPr>
            </w:pPr>
            <w:r>
              <w:rPr>
                <w:b/>
                <w:szCs w:val="22"/>
              </w:rPr>
              <w:t>Preliminary Joint Recommendations on Affordability / Financial Barriers</w:t>
            </w:r>
          </w:p>
        </w:tc>
        <w:tc>
          <w:tcPr>
            <w:tcW w:w="1710" w:type="dxa"/>
          </w:tcPr>
          <w:p w14:paraId="10C778B7" w14:textId="77777777" w:rsidR="005E3DE6" w:rsidRDefault="00194E41" w:rsidP="001B15A4">
            <w:proofErr w:type="spellStart"/>
            <w:r>
              <w:t>Manatt</w:t>
            </w:r>
            <w:proofErr w:type="spellEnd"/>
          </w:p>
        </w:tc>
        <w:tc>
          <w:tcPr>
            <w:tcW w:w="5845" w:type="dxa"/>
          </w:tcPr>
          <w:p w14:paraId="10C778B8" w14:textId="77777777" w:rsidR="005E3DE6" w:rsidRDefault="00D37A68" w:rsidP="00CB2FAB">
            <w:pPr>
              <w:pStyle w:val="ListParagraph"/>
              <w:numPr>
                <w:ilvl w:val="0"/>
                <w:numId w:val="12"/>
              </w:numPr>
              <w:spacing w:after="0"/>
              <w:rPr>
                <w:szCs w:val="22"/>
              </w:rPr>
            </w:pPr>
            <w:r>
              <w:rPr>
                <w:i/>
                <w:szCs w:val="22"/>
              </w:rPr>
              <w:t xml:space="preserve">See </w:t>
            </w:r>
            <w:proofErr w:type="spellStart"/>
            <w:r>
              <w:rPr>
                <w:i/>
                <w:szCs w:val="22"/>
              </w:rPr>
              <w:t>Manatt</w:t>
            </w:r>
            <w:proofErr w:type="spellEnd"/>
            <w:r>
              <w:rPr>
                <w:i/>
                <w:szCs w:val="22"/>
              </w:rPr>
              <w:t xml:space="preserve"> Presentation</w:t>
            </w:r>
          </w:p>
          <w:p w14:paraId="10C778B9" w14:textId="77777777" w:rsidR="00D37A68" w:rsidRDefault="00D37A68" w:rsidP="00CB2FAB">
            <w:pPr>
              <w:pStyle w:val="ListParagraph"/>
              <w:numPr>
                <w:ilvl w:val="0"/>
                <w:numId w:val="12"/>
              </w:numPr>
              <w:spacing w:after="0"/>
              <w:rPr>
                <w:szCs w:val="22"/>
              </w:rPr>
            </w:pPr>
            <w:r>
              <w:rPr>
                <w:szCs w:val="22"/>
              </w:rPr>
              <w:t xml:space="preserve">Patricia </w:t>
            </w:r>
            <w:proofErr w:type="spellStart"/>
            <w:r>
              <w:rPr>
                <w:szCs w:val="22"/>
              </w:rPr>
              <w:t>Boozang</w:t>
            </w:r>
            <w:proofErr w:type="spellEnd"/>
            <w:r>
              <w:rPr>
                <w:szCs w:val="22"/>
              </w:rPr>
              <w:t xml:space="preserve"> of </w:t>
            </w:r>
            <w:proofErr w:type="spellStart"/>
            <w:r>
              <w:rPr>
                <w:szCs w:val="22"/>
              </w:rPr>
              <w:t>Manatt</w:t>
            </w:r>
            <w:proofErr w:type="spellEnd"/>
            <w:r>
              <w:rPr>
                <w:szCs w:val="22"/>
              </w:rPr>
              <w:t xml:space="preserve"> presented on preliminary recommendations on Affordability and Financial Barriers</w:t>
            </w:r>
            <w:r w:rsidR="005761BC">
              <w:rPr>
                <w:szCs w:val="22"/>
              </w:rPr>
              <w:t>.</w:t>
            </w:r>
          </w:p>
          <w:p w14:paraId="10C778BA" w14:textId="77777777" w:rsidR="00D37A68" w:rsidRDefault="00D37A68" w:rsidP="00CB2FAB">
            <w:pPr>
              <w:pStyle w:val="ListParagraph"/>
              <w:numPr>
                <w:ilvl w:val="0"/>
                <w:numId w:val="12"/>
              </w:numPr>
              <w:spacing w:after="0"/>
              <w:rPr>
                <w:szCs w:val="22"/>
              </w:rPr>
            </w:pPr>
            <w:r>
              <w:rPr>
                <w:i/>
                <w:szCs w:val="22"/>
              </w:rPr>
              <w:t xml:space="preserve">Reducing Financial Cliff at 200% FPL: </w:t>
            </w:r>
            <w:r>
              <w:rPr>
                <w:szCs w:val="22"/>
              </w:rPr>
              <w:t xml:space="preserve">Ms. </w:t>
            </w:r>
            <w:proofErr w:type="spellStart"/>
            <w:r>
              <w:rPr>
                <w:szCs w:val="22"/>
              </w:rPr>
              <w:t>Boozang</w:t>
            </w:r>
            <w:proofErr w:type="spellEnd"/>
            <w:r>
              <w:rPr>
                <w:szCs w:val="22"/>
              </w:rPr>
              <w:t xml:space="preserve"> reviewed three options </w:t>
            </w:r>
            <w:r w:rsidR="00B803F1">
              <w:rPr>
                <w:szCs w:val="22"/>
              </w:rPr>
              <w:t xml:space="preserve">that emerged from the previous workgroup meeting </w:t>
            </w:r>
            <w:r>
              <w:rPr>
                <w:szCs w:val="22"/>
              </w:rPr>
              <w:t>for reducing the financial cliff for individuals at 200% FPL</w:t>
            </w:r>
            <w:r w:rsidR="00B803F1">
              <w:rPr>
                <w:szCs w:val="22"/>
              </w:rPr>
              <w:t>:</w:t>
            </w:r>
            <w:r>
              <w:rPr>
                <w:szCs w:val="22"/>
              </w:rPr>
              <w:t xml:space="preserve"> (1) establishing HSA like accounts, (2) expanding eligibility for enhanced subsidies to 275% FPL, and (3) redistribut</w:t>
            </w:r>
            <w:r w:rsidR="005761BC">
              <w:rPr>
                <w:szCs w:val="22"/>
              </w:rPr>
              <w:t>ing</w:t>
            </w:r>
            <w:r>
              <w:rPr>
                <w:szCs w:val="22"/>
              </w:rPr>
              <w:t xml:space="preserve"> federal subsidies for consumers with income from 200 – 300% FPL. </w:t>
            </w:r>
            <w:r w:rsidR="005D2A96">
              <w:rPr>
                <w:szCs w:val="22"/>
              </w:rPr>
              <w:t xml:space="preserve">Ms. </w:t>
            </w:r>
            <w:proofErr w:type="spellStart"/>
            <w:r w:rsidR="005D2A96">
              <w:rPr>
                <w:szCs w:val="22"/>
              </w:rPr>
              <w:t>Boozang</w:t>
            </w:r>
            <w:proofErr w:type="spellEnd"/>
            <w:r w:rsidR="005D2A96">
              <w:rPr>
                <w:szCs w:val="22"/>
              </w:rPr>
              <w:t xml:space="preserve"> noted that HSAs can be used to incentivize healthy behaviors. </w:t>
            </w:r>
            <w:r w:rsidR="005761BC">
              <w:rPr>
                <w:szCs w:val="22"/>
              </w:rPr>
              <w:t>It was noted that t</w:t>
            </w:r>
            <w:r w:rsidR="005001F3">
              <w:rPr>
                <w:szCs w:val="22"/>
              </w:rPr>
              <w:t>he S</w:t>
            </w:r>
            <w:r w:rsidR="00A501E5">
              <w:rPr>
                <w:szCs w:val="22"/>
              </w:rPr>
              <w:t xml:space="preserve">eamlessness workgroup will take up programmatic and financing vehicles. </w:t>
            </w:r>
          </w:p>
          <w:p w14:paraId="10C778BB" w14:textId="77777777" w:rsidR="0020245F" w:rsidRDefault="00BF2751" w:rsidP="0020245F">
            <w:pPr>
              <w:pStyle w:val="ListParagraph"/>
              <w:numPr>
                <w:ilvl w:val="1"/>
                <w:numId w:val="12"/>
              </w:numPr>
              <w:spacing w:after="0"/>
              <w:rPr>
                <w:szCs w:val="22"/>
              </w:rPr>
            </w:pPr>
            <w:r>
              <w:rPr>
                <w:szCs w:val="22"/>
              </w:rPr>
              <w:t>The workgroup had an in-depth discussion regarding how to incentivize consumers through HSAs. Multiple examples of other programs in Minnesota were raised</w:t>
            </w:r>
            <w:r w:rsidR="005001F3">
              <w:rPr>
                <w:szCs w:val="22"/>
              </w:rPr>
              <w:t>,</w:t>
            </w:r>
            <w:r>
              <w:rPr>
                <w:szCs w:val="22"/>
              </w:rPr>
              <w:t xml:space="preserve"> including a </w:t>
            </w:r>
            <w:r w:rsidR="005001F3">
              <w:rPr>
                <w:szCs w:val="22"/>
              </w:rPr>
              <w:t xml:space="preserve">state and privately funded savings </w:t>
            </w:r>
            <w:r>
              <w:rPr>
                <w:szCs w:val="22"/>
              </w:rPr>
              <w:t xml:space="preserve">program </w:t>
            </w:r>
            <w:r w:rsidR="005001F3">
              <w:rPr>
                <w:szCs w:val="22"/>
              </w:rPr>
              <w:t xml:space="preserve">that enables families to </w:t>
            </w:r>
            <w:r>
              <w:rPr>
                <w:szCs w:val="22"/>
              </w:rPr>
              <w:t>purchas</w:t>
            </w:r>
            <w:r w:rsidR="005001F3">
              <w:rPr>
                <w:szCs w:val="22"/>
              </w:rPr>
              <w:t>e</w:t>
            </w:r>
            <w:r>
              <w:rPr>
                <w:szCs w:val="22"/>
              </w:rPr>
              <w:t xml:space="preserve"> a house, start a business, etc. after participating in an education program</w:t>
            </w:r>
            <w:r w:rsidR="0020245F">
              <w:rPr>
                <w:szCs w:val="22"/>
              </w:rPr>
              <w:t xml:space="preserve">. The workgroup agreed that incentives for healthy behaviors should be traceable, measurable, and obtainable. Members were interested in further analysis of how other states have incentivized healthy behaviors through the use of HSA like accounts. </w:t>
            </w:r>
          </w:p>
          <w:p w14:paraId="10C778BC" w14:textId="77777777" w:rsidR="0020245F" w:rsidRDefault="004464B3" w:rsidP="0020245F">
            <w:pPr>
              <w:pStyle w:val="ListParagraph"/>
              <w:numPr>
                <w:ilvl w:val="1"/>
                <w:numId w:val="12"/>
              </w:numPr>
              <w:spacing w:after="0"/>
              <w:rPr>
                <w:szCs w:val="22"/>
              </w:rPr>
            </w:pPr>
            <w:r>
              <w:rPr>
                <w:szCs w:val="22"/>
              </w:rPr>
              <w:t xml:space="preserve">The workgroup also discussed the importance of financial literacy and </w:t>
            </w:r>
            <w:r w:rsidR="0020245F">
              <w:rPr>
                <w:szCs w:val="22"/>
              </w:rPr>
              <w:t xml:space="preserve">exit </w:t>
            </w:r>
            <w:r>
              <w:rPr>
                <w:szCs w:val="22"/>
              </w:rPr>
              <w:t xml:space="preserve">counseling for enrollees leaving the </w:t>
            </w:r>
            <w:proofErr w:type="spellStart"/>
            <w:r w:rsidR="0020245F">
              <w:rPr>
                <w:szCs w:val="22"/>
              </w:rPr>
              <w:t>MinnesotaCare</w:t>
            </w:r>
            <w:proofErr w:type="spellEnd"/>
            <w:r w:rsidR="0020245F">
              <w:rPr>
                <w:szCs w:val="22"/>
              </w:rPr>
              <w:t xml:space="preserve"> on the financial impact of their choices</w:t>
            </w:r>
            <w:r w:rsidR="00B803F1">
              <w:rPr>
                <w:szCs w:val="22"/>
              </w:rPr>
              <w:t xml:space="preserve"> among</w:t>
            </w:r>
            <w:r w:rsidR="0020245F">
              <w:rPr>
                <w:szCs w:val="22"/>
              </w:rPr>
              <w:t xml:space="preserve"> different QHP pro</w:t>
            </w:r>
            <w:r w:rsidR="00B803F1">
              <w:rPr>
                <w:szCs w:val="22"/>
              </w:rPr>
              <w:t>ducts</w:t>
            </w:r>
            <w:r w:rsidR="0020245F">
              <w:rPr>
                <w:szCs w:val="22"/>
              </w:rPr>
              <w:t xml:space="preserve">. </w:t>
            </w:r>
          </w:p>
          <w:p w14:paraId="10C778BD" w14:textId="77777777" w:rsidR="00A632EE" w:rsidRPr="00F8228E" w:rsidRDefault="00342131" w:rsidP="00F8228E">
            <w:pPr>
              <w:pStyle w:val="ListParagraph"/>
              <w:numPr>
                <w:ilvl w:val="0"/>
                <w:numId w:val="12"/>
              </w:numPr>
              <w:spacing w:after="0"/>
              <w:rPr>
                <w:szCs w:val="22"/>
              </w:rPr>
            </w:pPr>
            <w:r>
              <w:rPr>
                <w:i/>
                <w:szCs w:val="22"/>
              </w:rPr>
              <w:lastRenderedPageBreak/>
              <w:t>Rationalize Affordability Definition</w:t>
            </w:r>
            <w:r w:rsidR="00A74853">
              <w:rPr>
                <w:szCs w:val="22"/>
              </w:rPr>
              <w:t xml:space="preserve">: Ms. </w:t>
            </w:r>
            <w:proofErr w:type="spellStart"/>
            <w:r w:rsidR="00A74853">
              <w:rPr>
                <w:szCs w:val="22"/>
              </w:rPr>
              <w:t>Boozang</w:t>
            </w:r>
            <w:proofErr w:type="spellEnd"/>
            <w:r w:rsidR="00A74853">
              <w:rPr>
                <w:szCs w:val="22"/>
              </w:rPr>
              <w:t xml:space="preserve"> provided an overview of </w:t>
            </w:r>
            <w:proofErr w:type="spellStart"/>
            <w:r w:rsidR="00A74853">
              <w:rPr>
                <w:szCs w:val="22"/>
              </w:rPr>
              <w:t>the“family</w:t>
            </w:r>
            <w:proofErr w:type="spellEnd"/>
            <w:r w:rsidR="00A74853">
              <w:rPr>
                <w:szCs w:val="22"/>
              </w:rPr>
              <w:t xml:space="preserve"> glitch”</w:t>
            </w:r>
            <w:r w:rsidR="00F8228E">
              <w:rPr>
                <w:szCs w:val="22"/>
              </w:rPr>
              <w:t xml:space="preserve"> –</w:t>
            </w:r>
            <w:r w:rsidR="00E23E8C" w:rsidRPr="00F8228E">
              <w:rPr>
                <w:szCs w:val="22"/>
              </w:rPr>
              <w:t xml:space="preserve"> </w:t>
            </w:r>
            <w:r w:rsidR="00A74853" w:rsidRPr="00F8228E">
              <w:rPr>
                <w:szCs w:val="22"/>
              </w:rPr>
              <w:t xml:space="preserve">a family does not have access to affordable coverage because the affordability standard is based on the individual </w:t>
            </w:r>
            <w:r w:rsidR="00E23E8C" w:rsidRPr="00F8228E">
              <w:rPr>
                <w:szCs w:val="22"/>
              </w:rPr>
              <w:t>and</w:t>
            </w:r>
            <w:r w:rsidR="00A74853" w:rsidRPr="00F8228E">
              <w:rPr>
                <w:szCs w:val="22"/>
              </w:rPr>
              <w:t xml:space="preserve"> not on the family coverage</w:t>
            </w:r>
            <w:r w:rsidR="00F8228E">
              <w:rPr>
                <w:szCs w:val="22"/>
              </w:rPr>
              <w:t xml:space="preserve"> – and </w:t>
            </w:r>
            <w:proofErr w:type="gramStart"/>
            <w:r w:rsidR="00F8228E">
              <w:rPr>
                <w:szCs w:val="22"/>
              </w:rPr>
              <w:t xml:space="preserve">the </w:t>
            </w:r>
            <w:r w:rsidR="00A74853" w:rsidRPr="00F8228E">
              <w:rPr>
                <w:szCs w:val="22"/>
              </w:rPr>
              <w:t xml:space="preserve"> </w:t>
            </w:r>
            <w:r w:rsidR="00B803F1">
              <w:rPr>
                <w:szCs w:val="22"/>
              </w:rPr>
              <w:t>preliminary</w:t>
            </w:r>
            <w:proofErr w:type="gramEnd"/>
            <w:r w:rsidR="00B803F1">
              <w:rPr>
                <w:szCs w:val="22"/>
              </w:rPr>
              <w:t xml:space="preserve"> </w:t>
            </w:r>
            <w:r w:rsidR="00A74853" w:rsidRPr="00F8228E">
              <w:rPr>
                <w:szCs w:val="22"/>
              </w:rPr>
              <w:t>recommendation to fix th</w:t>
            </w:r>
            <w:r w:rsidR="00E23E8C" w:rsidRPr="00F8228E">
              <w:rPr>
                <w:szCs w:val="22"/>
              </w:rPr>
              <w:t>e</w:t>
            </w:r>
            <w:r w:rsidR="00A74853" w:rsidRPr="00F8228E">
              <w:rPr>
                <w:szCs w:val="22"/>
              </w:rPr>
              <w:t xml:space="preserve"> definition through a 1332 waiver. </w:t>
            </w:r>
          </w:p>
          <w:p w14:paraId="10C778BE" w14:textId="77777777" w:rsidR="00FD33A4" w:rsidRDefault="00E23E8C" w:rsidP="00E37D98">
            <w:pPr>
              <w:pStyle w:val="ListParagraph"/>
              <w:numPr>
                <w:ilvl w:val="1"/>
                <w:numId w:val="12"/>
              </w:numPr>
              <w:spacing w:after="0"/>
              <w:rPr>
                <w:szCs w:val="22"/>
              </w:rPr>
            </w:pPr>
            <w:r>
              <w:rPr>
                <w:szCs w:val="22"/>
              </w:rPr>
              <w:t xml:space="preserve">The workgroup discussed the impact of fixing the family glitch on </w:t>
            </w:r>
            <w:r w:rsidR="00FD33A4">
              <w:rPr>
                <w:szCs w:val="22"/>
              </w:rPr>
              <w:t xml:space="preserve">Minnesota’s employer market as families with unaffordable coverage who are currently paying out-of-pocket will move into the individual market. </w:t>
            </w:r>
          </w:p>
          <w:p w14:paraId="10C778BF" w14:textId="77777777" w:rsidR="008A3ABE" w:rsidRDefault="008A3ABE" w:rsidP="00E37D98">
            <w:pPr>
              <w:pStyle w:val="ListParagraph"/>
              <w:numPr>
                <w:ilvl w:val="1"/>
                <w:numId w:val="12"/>
              </w:numPr>
              <w:spacing w:after="0"/>
              <w:rPr>
                <w:szCs w:val="22"/>
              </w:rPr>
            </w:pPr>
            <w:r>
              <w:rPr>
                <w:szCs w:val="22"/>
              </w:rPr>
              <w:t xml:space="preserve">The workgroup discussed an alternative to fixing the family glitch through providing premium assistance for employer sponsored insurance, if allowable under a 1332 waiver. This would keep families together on the same employer plan and not cause the working member of the family to be on one plan and the rest of the family in individual coverage. The state could also consider using a premium aggregator to allow individuals to purchase all coverage through the individual market. </w:t>
            </w:r>
          </w:p>
          <w:p w14:paraId="10C778C0" w14:textId="77777777" w:rsidR="00E37D98" w:rsidRDefault="008A3ABE" w:rsidP="00E37D98">
            <w:pPr>
              <w:pStyle w:val="ListParagraph"/>
              <w:numPr>
                <w:ilvl w:val="1"/>
                <w:numId w:val="12"/>
              </w:numPr>
              <w:spacing w:after="0"/>
              <w:rPr>
                <w:szCs w:val="22"/>
              </w:rPr>
            </w:pPr>
            <w:r>
              <w:rPr>
                <w:szCs w:val="22"/>
              </w:rPr>
              <w:t>The workgroup raised the point that the family glitch impacts all states and discussed whether CMS could approve this waiver</w:t>
            </w:r>
            <w:r w:rsidR="005244D9">
              <w:rPr>
                <w:szCs w:val="22"/>
              </w:rPr>
              <w:t>, or other similar proposals impacting all states,</w:t>
            </w:r>
            <w:r>
              <w:rPr>
                <w:szCs w:val="22"/>
              </w:rPr>
              <w:t xml:space="preserve"> as a “fast-track.</w:t>
            </w:r>
            <w:r w:rsidR="005244D9">
              <w:rPr>
                <w:szCs w:val="22"/>
              </w:rPr>
              <w:t>”</w:t>
            </w:r>
          </w:p>
          <w:p w14:paraId="10C778C1" w14:textId="77777777" w:rsidR="00A501E5" w:rsidRDefault="00A501E5" w:rsidP="00A501E5">
            <w:pPr>
              <w:pStyle w:val="ListParagraph"/>
              <w:numPr>
                <w:ilvl w:val="0"/>
                <w:numId w:val="12"/>
              </w:numPr>
              <w:spacing w:after="0"/>
              <w:rPr>
                <w:szCs w:val="22"/>
              </w:rPr>
            </w:pPr>
            <w:r>
              <w:rPr>
                <w:i/>
                <w:szCs w:val="22"/>
              </w:rPr>
              <w:t xml:space="preserve">Address High Deductible Health Plans: </w:t>
            </w:r>
            <w:r>
              <w:rPr>
                <w:szCs w:val="22"/>
              </w:rPr>
              <w:t xml:space="preserve">Ms. </w:t>
            </w:r>
            <w:proofErr w:type="spellStart"/>
            <w:r>
              <w:rPr>
                <w:szCs w:val="22"/>
              </w:rPr>
              <w:t>Boozang</w:t>
            </w:r>
            <w:proofErr w:type="spellEnd"/>
            <w:r>
              <w:rPr>
                <w:szCs w:val="22"/>
              </w:rPr>
              <w:t xml:space="preserve"> provided an overview of options to address high deductible products including</w:t>
            </w:r>
            <w:r w:rsidR="00B803F1">
              <w:rPr>
                <w:szCs w:val="22"/>
              </w:rPr>
              <w:t>:</w:t>
            </w:r>
            <w:r>
              <w:rPr>
                <w:szCs w:val="22"/>
              </w:rPr>
              <w:t xml:space="preserve"> require carriers to off</w:t>
            </w:r>
            <w:r w:rsidR="005244D9">
              <w:rPr>
                <w:szCs w:val="22"/>
              </w:rPr>
              <w:t xml:space="preserve">er low or no deductible options and </w:t>
            </w:r>
            <w:r>
              <w:rPr>
                <w:szCs w:val="22"/>
              </w:rPr>
              <w:t xml:space="preserve">exempt certain services from deductibles including primary care and generic prescription drugs. The </w:t>
            </w:r>
            <w:r w:rsidR="00FC6783">
              <w:rPr>
                <w:szCs w:val="22"/>
              </w:rPr>
              <w:t>B</w:t>
            </w:r>
            <w:r>
              <w:rPr>
                <w:szCs w:val="22"/>
              </w:rPr>
              <w:t xml:space="preserve">arriers </w:t>
            </w:r>
            <w:r w:rsidR="00FC6783">
              <w:rPr>
                <w:szCs w:val="22"/>
              </w:rPr>
              <w:t>W</w:t>
            </w:r>
            <w:r>
              <w:rPr>
                <w:szCs w:val="22"/>
              </w:rPr>
              <w:t xml:space="preserve">orkgroup will </w:t>
            </w:r>
            <w:r w:rsidR="005244D9">
              <w:rPr>
                <w:szCs w:val="22"/>
              </w:rPr>
              <w:t xml:space="preserve">further </w:t>
            </w:r>
            <w:r>
              <w:rPr>
                <w:szCs w:val="22"/>
              </w:rPr>
              <w:t xml:space="preserve">consider the options presented. </w:t>
            </w:r>
          </w:p>
          <w:p w14:paraId="10C778C2" w14:textId="77777777" w:rsidR="00BF3207" w:rsidRDefault="00FC6783" w:rsidP="00074D71">
            <w:pPr>
              <w:pStyle w:val="ListParagraph"/>
              <w:numPr>
                <w:ilvl w:val="1"/>
                <w:numId w:val="12"/>
              </w:numPr>
              <w:spacing w:after="0"/>
              <w:rPr>
                <w:szCs w:val="22"/>
              </w:rPr>
            </w:pPr>
            <w:r>
              <w:rPr>
                <w:szCs w:val="22"/>
              </w:rPr>
              <w:t>A workgroup member</w:t>
            </w:r>
            <w:r w:rsidR="0056255D">
              <w:rPr>
                <w:szCs w:val="22"/>
              </w:rPr>
              <w:t xml:space="preserve"> recommended that</w:t>
            </w:r>
            <w:r>
              <w:rPr>
                <w:szCs w:val="22"/>
              </w:rPr>
              <w:t xml:space="preserve"> </w:t>
            </w:r>
            <w:proofErr w:type="gramStart"/>
            <w:r>
              <w:rPr>
                <w:szCs w:val="22"/>
              </w:rPr>
              <w:t>the</w:t>
            </w:r>
            <w:r w:rsidR="0056255D">
              <w:rPr>
                <w:szCs w:val="22"/>
              </w:rPr>
              <w:t xml:space="preserve">  </w:t>
            </w:r>
            <w:r>
              <w:rPr>
                <w:szCs w:val="22"/>
              </w:rPr>
              <w:t>B</w:t>
            </w:r>
            <w:r w:rsidR="0056255D">
              <w:rPr>
                <w:szCs w:val="22"/>
              </w:rPr>
              <w:t>arriers</w:t>
            </w:r>
            <w:proofErr w:type="gramEnd"/>
            <w:r w:rsidR="0056255D">
              <w:rPr>
                <w:szCs w:val="22"/>
              </w:rPr>
              <w:t xml:space="preserve"> </w:t>
            </w:r>
            <w:r>
              <w:rPr>
                <w:szCs w:val="22"/>
              </w:rPr>
              <w:t>W</w:t>
            </w:r>
            <w:r w:rsidR="0056255D">
              <w:rPr>
                <w:szCs w:val="22"/>
              </w:rPr>
              <w:t>orkgroup consider the consumer impact associated with the number of  plan options available</w:t>
            </w:r>
            <w:r w:rsidR="00074D71">
              <w:rPr>
                <w:szCs w:val="22"/>
              </w:rPr>
              <w:t xml:space="preserve">. </w:t>
            </w:r>
            <w:r>
              <w:rPr>
                <w:szCs w:val="22"/>
              </w:rPr>
              <w:t>Since t</w:t>
            </w:r>
            <w:r w:rsidR="00074D71">
              <w:rPr>
                <w:szCs w:val="22"/>
              </w:rPr>
              <w:t>he state requires all products to have guaranteed renewability making it difficult to remove products, any new products offered as part of the solution for addressing high deductible plans</w:t>
            </w:r>
            <w:r>
              <w:rPr>
                <w:szCs w:val="22"/>
              </w:rPr>
              <w:t xml:space="preserve"> will increase the quantity of available products.</w:t>
            </w:r>
          </w:p>
          <w:p w14:paraId="10C778C3" w14:textId="77777777" w:rsidR="00271347" w:rsidRDefault="00613553" w:rsidP="00271347">
            <w:pPr>
              <w:pStyle w:val="ListParagraph"/>
              <w:numPr>
                <w:ilvl w:val="0"/>
                <w:numId w:val="12"/>
              </w:numPr>
              <w:spacing w:after="0"/>
              <w:rPr>
                <w:szCs w:val="22"/>
              </w:rPr>
            </w:pPr>
            <w:r>
              <w:rPr>
                <w:szCs w:val="22"/>
              </w:rPr>
              <w:t>The Commissioner</w:t>
            </w:r>
            <w:r w:rsidR="001502D2">
              <w:rPr>
                <w:szCs w:val="22"/>
              </w:rPr>
              <w:t xml:space="preserve"> reminded the workgroup of the importance of considering the technical feasibility of implementing recommendations provided, in al</w:t>
            </w:r>
            <w:r w:rsidR="00F97342">
              <w:rPr>
                <w:szCs w:val="22"/>
              </w:rPr>
              <w:t xml:space="preserve">l implementation models. Workgroup members also </w:t>
            </w:r>
            <w:r w:rsidR="00FD39B3">
              <w:rPr>
                <w:szCs w:val="22"/>
              </w:rPr>
              <w:t>affirmed the importance of considering</w:t>
            </w:r>
            <w:r w:rsidR="00F97342">
              <w:rPr>
                <w:szCs w:val="22"/>
              </w:rPr>
              <w:t xml:space="preserve"> administrative feasibility,</w:t>
            </w:r>
            <w:r w:rsidR="00BD70D7">
              <w:rPr>
                <w:szCs w:val="22"/>
              </w:rPr>
              <w:t xml:space="preserve"> </w:t>
            </w:r>
            <w:r w:rsidR="00FD39B3">
              <w:rPr>
                <w:szCs w:val="22"/>
              </w:rPr>
              <w:t>state fiscal</w:t>
            </w:r>
            <w:r w:rsidR="00BD70D7">
              <w:rPr>
                <w:szCs w:val="22"/>
              </w:rPr>
              <w:t xml:space="preserve"> impact </w:t>
            </w:r>
            <w:r w:rsidR="00FD39B3">
              <w:rPr>
                <w:szCs w:val="22"/>
              </w:rPr>
              <w:t>in</w:t>
            </w:r>
            <w:r w:rsidR="00F97342">
              <w:rPr>
                <w:szCs w:val="22"/>
              </w:rPr>
              <w:t xml:space="preserve"> all recommendations. </w:t>
            </w:r>
          </w:p>
          <w:p w14:paraId="10C778C4" w14:textId="77777777" w:rsidR="003B4E38" w:rsidRPr="00F97342" w:rsidRDefault="00B85BA5" w:rsidP="001445DD">
            <w:pPr>
              <w:pStyle w:val="ListParagraph"/>
              <w:numPr>
                <w:ilvl w:val="0"/>
                <w:numId w:val="12"/>
              </w:numPr>
              <w:spacing w:after="0"/>
              <w:rPr>
                <w:szCs w:val="22"/>
              </w:rPr>
            </w:pPr>
            <w:r>
              <w:rPr>
                <w:szCs w:val="22"/>
              </w:rPr>
              <w:lastRenderedPageBreak/>
              <w:t>T</w:t>
            </w:r>
            <w:r w:rsidR="00271347">
              <w:rPr>
                <w:szCs w:val="22"/>
              </w:rPr>
              <w:t xml:space="preserve">he workgroup </w:t>
            </w:r>
            <w:r w:rsidR="000F5991">
              <w:rPr>
                <w:szCs w:val="22"/>
              </w:rPr>
              <w:t>also affirmed</w:t>
            </w:r>
            <w:r w:rsidR="00271347">
              <w:rPr>
                <w:szCs w:val="22"/>
              </w:rPr>
              <w:t xml:space="preserve"> the importance of </w:t>
            </w:r>
            <w:r w:rsidR="001445DD">
              <w:rPr>
                <w:szCs w:val="22"/>
              </w:rPr>
              <w:t>considering</w:t>
            </w:r>
            <w:r w:rsidR="00271347">
              <w:rPr>
                <w:szCs w:val="22"/>
              </w:rPr>
              <w:t xml:space="preserve"> the impact on the individuals and families seeking coverage and not only</w:t>
            </w:r>
            <w:r w:rsidR="000F5991">
              <w:rPr>
                <w:szCs w:val="22"/>
              </w:rPr>
              <w:t xml:space="preserve"> </w:t>
            </w:r>
            <w:r w:rsidR="00271347">
              <w:rPr>
                <w:szCs w:val="22"/>
              </w:rPr>
              <w:t xml:space="preserve">the cost to the individual and/or the state.   </w:t>
            </w:r>
          </w:p>
        </w:tc>
      </w:tr>
      <w:tr w:rsidR="00C44D92" w14:paraId="10C778CA" w14:textId="77777777" w:rsidTr="00C44D92">
        <w:tc>
          <w:tcPr>
            <w:tcW w:w="3235" w:type="dxa"/>
          </w:tcPr>
          <w:p w14:paraId="10C778C6" w14:textId="77777777" w:rsidR="00C44D92" w:rsidRPr="00936B3A" w:rsidRDefault="00194E41" w:rsidP="00194E41">
            <w:pPr>
              <w:rPr>
                <w:b/>
                <w:szCs w:val="22"/>
              </w:rPr>
            </w:pPr>
            <w:r>
              <w:rPr>
                <w:b/>
                <w:szCs w:val="22"/>
              </w:rPr>
              <w:lastRenderedPageBreak/>
              <w:t xml:space="preserve">Preliminary Recommendations for Further Consideration by </w:t>
            </w:r>
            <w:r w:rsidR="00D37A68">
              <w:rPr>
                <w:b/>
                <w:szCs w:val="22"/>
              </w:rPr>
              <w:t xml:space="preserve">the </w:t>
            </w:r>
            <w:r>
              <w:rPr>
                <w:b/>
                <w:szCs w:val="22"/>
              </w:rPr>
              <w:t>Barriers</w:t>
            </w:r>
            <w:r w:rsidR="00D37A68">
              <w:rPr>
                <w:b/>
                <w:szCs w:val="22"/>
              </w:rPr>
              <w:t xml:space="preserve"> Workgroup </w:t>
            </w:r>
          </w:p>
        </w:tc>
        <w:tc>
          <w:tcPr>
            <w:tcW w:w="1710" w:type="dxa"/>
          </w:tcPr>
          <w:p w14:paraId="10C778C7" w14:textId="77777777" w:rsidR="00C44D92" w:rsidRDefault="00936B3A" w:rsidP="001B15A4">
            <w:proofErr w:type="spellStart"/>
            <w:r>
              <w:t>Manatt</w:t>
            </w:r>
            <w:proofErr w:type="spellEnd"/>
          </w:p>
        </w:tc>
        <w:tc>
          <w:tcPr>
            <w:tcW w:w="5845" w:type="dxa"/>
          </w:tcPr>
          <w:p w14:paraId="10C778C8" w14:textId="77777777" w:rsidR="00E90A6C" w:rsidRDefault="005E3A4E" w:rsidP="0046778D">
            <w:pPr>
              <w:pStyle w:val="ListParagraph"/>
              <w:numPr>
                <w:ilvl w:val="0"/>
                <w:numId w:val="12"/>
              </w:numPr>
              <w:spacing w:after="0"/>
              <w:rPr>
                <w:szCs w:val="22"/>
              </w:rPr>
            </w:pPr>
            <w:r>
              <w:rPr>
                <w:i/>
                <w:szCs w:val="22"/>
              </w:rPr>
              <w:t xml:space="preserve">Develop Minnesota Affordability Scale: </w:t>
            </w:r>
            <w:r>
              <w:rPr>
                <w:szCs w:val="22"/>
              </w:rPr>
              <w:t xml:space="preserve">Ms. </w:t>
            </w:r>
            <w:proofErr w:type="spellStart"/>
            <w:r>
              <w:rPr>
                <w:szCs w:val="22"/>
              </w:rPr>
              <w:t>Boozang</w:t>
            </w:r>
            <w:proofErr w:type="spellEnd"/>
            <w:r>
              <w:rPr>
                <w:szCs w:val="22"/>
              </w:rPr>
              <w:t xml:space="preserve"> provided an overview of the various affordability scales available. She noted </w:t>
            </w:r>
            <w:r w:rsidR="000A7E3F">
              <w:rPr>
                <w:szCs w:val="22"/>
              </w:rPr>
              <w:t>t</w:t>
            </w:r>
            <w:r w:rsidR="00F97342">
              <w:rPr>
                <w:szCs w:val="22"/>
              </w:rPr>
              <w:t>he state’s public programs and employee benefit plan require less total contribution from the consumer</w:t>
            </w:r>
            <w:r w:rsidR="000A7E3F">
              <w:rPr>
                <w:szCs w:val="22"/>
              </w:rPr>
              <w:t xml:space="preserve"> than the levels mandated under the ACA</w:t>
            </w:r>
            <w:r w:rsidR="00F97342">
              <w:rPr>
                <w:szCs w:val="22"/>
              </w:rPr>
              <w:t>.  T</w:t>
            </w:r>
            <w:r w:rsidR="00FC160E">
              <w:rPr>
                <w:szCs w:val="22"/>
              </w:rPr>
              <w:t xml:space="preserve">he </w:t>
            </w:r>
            <w:r w:rsidR="000A7E3F">
              <w:rPr>
                <w:szCs w:val="22"/>
              </w:rPr>
              <w:t>B</w:t>
            </w:r>
            <w:r w:rsidR="00FC160E">
              <w:rPr>
                <w:szCs w:val="22"/>
              </w:rPr>
              <w:t xml:space="preserve">arriers </w:t>
            </w:r>
            <w:r w:rsidR="000A7E3F">
              <w:rPr>
                <w:szCs w:val="22"/>
              </w:rPr>
              <w:t>W</w:t>
            </w:r>
            <w:r w:rsidR="00FC160E">
              <w:rPr>
                <w:szCs w:val="22"/>
              </w:rPr>
              <w:t xml:space="preserve">orkgroup </w:t>
            </w:r>
            <w:r w:rsidR="000A7E3F">
              <w:rPr>
                <w:szCs w:val="22"/>
              </w:rPr>
              <w:t>will</w:t>
            </w:r>
            <w:r w:rsidR="00F97342">
              <w:rPr>
                <w:szCs w:val="22"/>
              </w:rPr>
              <w:t xml:space="preserve"> further review the affordability scale and develop a recommendation for Minnesota’s scale. </w:t>
            </w:r>
            <w:r w:rsidR="00FC160E">
              <w:rPr>
                <w:szCs w:val="22"/>
              </w:rPr>
              <w:t xml:space="preserve"> </w:t>
            </w:r>
          </w:p>
          <w:p w14:paraId="10C778C9" w14:textId="12FD862E" w:rsidR="00613553" w:rsidRPr="00936B3A" w:rsidRDefault="00DA7390" w:rsidP="005E1375">
            <w:pPr>
              <w:pStyle w:val="ListParagraph"/>
              <w:numPr>
                <w:ilvl w:val="1"/>
                <w:numId w:val="12"/>
              </w:numPr>
              <w:spacing w:after="0"/>
              <w:rPr>
                <w:szCs w:val="22"/>
              </w:rPr>
            </w:pPr>
            <w:r>
              <w:rPr>
                <w:szCs w:val="22"/>
              </w:rPr>
              <w:t>A workgroup</w:t>
            </w:r>
            <w:r w:rsidR="002D3A3B">
              <w:rPr>
                <w:szCs w:val="22"/>
              </w:rPr>
              <w:t xml:space="preserve"> member</w:t>
            </w:r>
            <w:r>
              <w:rPr>
                <w:szCs w:val="22"/>
              </w:rPr>
              <w:t xml:space="preserve"> raised that s</w:t>
            </w:r>
            <w:r w:rsidR="00613553">
              <w:rPr>
                <w:szCs w:val="22"/>
              </w:rPr>
              <w:t>moothing cliffs</w:t>
            </w:r>
            <w:r>
              <w:rPr>
                <w:szCs w:val="22"/>
              </w:rPr>
              <w:t xml:space="preserve"> should not necessarily result in a decrease of the percent of income contribution across programs. </w:t>
            </w:r>
            <w:r w:rsidR="00613553">
              <w:rPr>
                <w:szCs w:val="22"/>
              </w:rPr>
              <w:t xml:space="preserve">Alternatively, </w:t>
            </w:r>
            <w:r w:rsidR="005E1375">
              <w:rPr>
                <w:szCs w:val="22"/>
              </w:rPr>
              <w:t xml:space="preserve">the member suggested considering increasing </w:t>
            </w:r>
            <w:r w:rsidR="00613553">
              <w:rPr>
                <w:szCs w:val="22"/>
              </w:rPr>
              <w:t xml:space="preserve">cost-sharing for programs </w:t>
            </w:r>
            <w:r w:rsidR="005E1375">
              <w:rPr>
                <w:szCs w:val="22"/>
              </w:rPr>
              <w:t>that</w:t>
            </w:r>
            <w:r w:rsidR="00613553">
              <w:rPr>
                <w:szCs w:val="22"/>
              </w:rPr>
              <w:t xml:space="preserve"> may be overly generous. </w:t>
            </w:r>
          </w:p>
        </w:tc>
      </w:tr>
      <w:tr w:rsidR="00194E41" w14:paraId="10C778CE" w14:textId="77777777" w:rsidTr="00C44D92">
        <w:tc>
          <w:tcPr>
            <w:tcW w:w="3235" w:type="dxa"/>
          </w:tcPr>
          <w:p w14:paraId="10C778CB" w14:textId="77777777" w:rsidR="00194E41" w:rsidRDefault="00194E41" w:rsidP="00194E41">
            <w:pPr>
              <w:rPr>
                <w:b/>
                <w:szCs w:val="22"/>
              </w:rPr>
            </w:pPr>
            <w:r>
              <w:rPr>
                <w:b/>
                <w:szCs w:val="22"/>
              </w:rPr>
              <w:t>Preliminary Recommendations for Further Consideration by Seamlessness</w:t>
            </w:r>
            <w:r w:rsidR="00D37A68">
              <w:rPr>
                <w:b/>
                <w:szCs w:val="22"/>
              </w:rPr>
              <w:t xml:space="preserve"> Workgroup</w:t>
            </w:r>
          </w:p>
        </w:tc>
        <w:tc>
          <w:tcPr>
            <w:tcW w:w="1710" w:type="dxa"/>
          </w:tcPr>
          <w:p w14:paraId="10C778CC" w14:textId="77777777" w:rsidR="00194E41" w:rsidRDefault="00194E41" w:rsidP="001B15A4">
            <w:proofErr w:type="spellStart"/>
            <w:r>
              <w:t>Manatt</w:t>
            </w:r>
            <w:proofErr w:type="spellEnd"/>
          </w:p>
        </w:tc>
        <w:tc>
          <w:tcPr>
            <w:tcW w:w="5845" w:type="dxa"/>
          </w:tcPr>
          <w:p w14:paraId="10C778CD" w14:textId="75429BB5" w:rsidR="00613553" w:rsidRPr="00936B3A" w:rsidRDefault="00FC160E" w:rsidP="00086179">
            <w:pPr>
              <w:pStyle w:val="ListParagraph"/>
              <w:numPr>
                <w:ilvl w:val="0"/>
                <w:numId w:val="12"/>
              </w:numPr>
              <w:spacing w:after="0"/>
              <w:rPr>
                <w:szCs w:val="22"/>
              </w:rPr>
            </w:pPr>
            <w:r>
              <w:rPr>
                <w:i/>
                <w:szCs w:val="22"/>
              </w:rPr>
              <w:t xml:space="preserve">Align Insurance Affordability Programs: </w:t>
            </w:r>
            <w:r>
              <w:rPr>
                <w:szCs w:val="22"/>
              </w:rPr>
              <w:t xml:space="preserve">Ms. </w:t>
            </w:r>
            <w:proofErr w:type="spellStart"/>
            <w:r>
              <w:rPr>
                <w:szCs w:val="22"/>
              </w:rPr>
              <w:t>Boozang</w:t>
            </w:r>
            <w:proofErr w:type="spellEnd"/>
            <w:r>
              <w:rPr>
                <w:szCs w:val="22"/>
              </w:rPr>
              <w:t xml:space="preserve"> provided an overview of the options available for Minnesota to align insurance affordability programs including; (1) consolidate </w:t>
            </w:r>
            <w:proofErr w:type="spellStart"/>
            <w:r>
              <w:rPr>
                <w:szCs w:val="22"/>
              </w:rPr>
              <w:t>MinnesotaCare</w:t>
            </w:r>
            <w:proofErr w:type="spellEnd"/>
            <w:r>
              <w:rPr>
                <w:szCs w:val="22"/>
              </w:rPr>
              <w:t xml:space="preserve"> with the Private Marketplace, (2) consolidate public programs, and (3) explore opportunities to use federal dollars</w:t>
            </w:r>
            <w:r w:rsidR="00BE1736">
              <w:rPr>
                <w:szCs w:val="22"/>
              </w:rPr>
              <w:t xml:space="preserve">. The </w:t>
            </w:r>
            <w:r w:rsidR="00086179">
              <w:rPr>
                <w:szCs w:val="22"/>
              </w:rPr>
              <w:t>D</w:t>
            </w:r>
            <w:r w:rsidR="00BE1736">
              <w:rPr>
                <w:szCs w:val="22"/>
              </w:rPr>
              <w:t xml:space="preserve">elivery </w:t>
            </w:r>
            <w:r w:rsidR="00086179">
              <w:rPr>
                <w:szCs w:val="22"/>
              </w:rPr>
              <w:t>W</w:t>
            </w:r>
            <w:r w:rsidR="00BE1736">
              <w:rPr>
                <w:szCs w:val="22"/>
              </w:rPr>
              <w:t xml:space="preserve">orkgroup will take up issues regarding financing and utilizing savings from value based purchasing in subsequent meetings. </w:t>
            </w:r>
          </w:p>
        </w:tc>
      </w:tr>
    </w:tbl>
    <w:p w14:paraId="10C778CF" w14:textId="5A719130" w:rsidR="00383739" w:rsidRDefault="00D04754" w:rsidP="002169AB">
      <w:r>
        <w:br/>
      </w:r>
      <w:r w:rsidR="00C55C8F">
        <w:rPr>
          <w:noProof/>
        </w:rPr>
        <mc:AlternateContent>
          <mc:Choice Requires="wps">
            <w:drawing>
              <wp:inline distT="0" distB="0" distL="0" distR="0" wp14:anchorId="4C0CD312" wp14:editId="230A3A76">
                <wp:extent cx="6833937" cy="3051810"/>
                <wp:effectExtent l="0" t="0" r="24130" b="15240"/>
                <wp:docPr id="3" name="Text Box 3"/>
                <wp:cNvGraphicFramePr/>
                <a:graphic xmlns:a="http://schemas.openxmlformats.org/drawingml/2006/main">
                  <a:graphicData uri="http://schemas.microsoft.com/office/word/2010/wordprocessingShape">
                    <wps:wsp>
                      <wps:cNvSpPr txBox="1"/>
                      <wps:spPr>
                        <a:xfrm>
                          <a:off x="0" y="0"/>
                          <a:ext cx="6833937" cy="3051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C778E0" w14:textId="77777777" w:rsidR="0023228B" w:rsidRPr="00ED71EE" w:rsidRDefault="0023228B" w:rsidP="0023228B">
                            <w:pPr>
                              <w:jc w:val="center"/>
                              <w:rPr>
                                <w:b/>
                                <w:sz w:val="24"/>
                              </w:rPr>
                            </w:pPr>
                            <w:r w:rsidRPr="00ED71EE">
                              <w:rPr>
                                <w:b/>
                                <w:sz w:val="24"/>
                              </w:rPr>
                              <w:t>Health Care Financing Task Force</w:t>
                            </w:r>
                          </w:p>
                          <w:p w14:paraId="10C778E1" w14:textId="77777777" w:rsidR="0023228B" w:rsidRDefault="0023228B" w:rsidP="0023228B">
                            <w:r w:rsidRPr="0023228B">
                              <w:rPr>
                                <w:b/>
                                <w:u w:val="single"/>
                              </w:rPr>
                              <w:t>Vision</w:t>
                            </w:r>
                            <w:r w:rsidRPr="0023228B">
                              <w:rPr>
                                <w:b/>
                              </w:rPr>
                              <w:t>:</w:t>
                            </w:r>
                            <w:r>
                              <w:t xml:space="preserve"> Sustainable, quality health care for all Minnesotans</w:t>
                            </w:r>
                          </w:p>
                          <w:p w14:paraId="10C778E2" w14:textId="77777777" w:rsidR="0023228B" w:rsidRPr="00415577" w:rsidRDefault="0023228B" w:rsidP="0023228B">
                            <w:pPr>
                              <w:rPr>
                                <w:b/>
                              </w:rPr>
                            </w:pPr>
                            <w:r w:rsidRPr="0023228B">
                              <w:rPr>
                                <w:b/>
                                <w:u w:val="single"/>
                              </w:rPr>
                              <w:t>Guiding Principles</w:t>
                            </w:r>
                            <w:r w:rsidR="00415577">
                              <w:rPr>
                                <w:b/>
                              </w:rPr>
                              <w:t>:</w:t>
                            </w:r>
                          </w:p>
                          <w:p w14:paraId="10C778E3" w14:textId="77777777" w:rsidR="0023228B" w:rsidRDefault="0023228B" w:rsidP="00ED71EE">
                            <w:pPr>
                              <w:ind w:left="720"/>
                            </w:pPr>
                            <w:r w:rsidRPr="0023228B">
                              <w:rPr>
                                <w:b/>
                                <w:i/>
                              </w:rPr>
                              <w:t xml:space="preserve">Realistic: </w:t>
                            </w:r>
                            <w:r>
                              <w:t>The task force will make recommendations that can realistically be implemented</w:t>
                            </w:r>
                            <w:r w:rsidR="00164144">
                              <w:t>.</w:t>
                            </w:r>
                          </w:p>
                          <w:p w14:paraId="10C778E4" w14:textId="77777777" w:rsidR="0023228B" w:rsidRDefault="0023228B" w:rsidP="00ED71EE">
                            <w:pPr>
                              <w:ind w:left="720"/>
                            </w:pPr>
                            <w:r w:rsidRPr="0023228B">
                              <w:rPr>
                                <w:b/>
                                <w:i/>
                              </w:rPr>
                              <w:t>High Value Impact:</w:t>
                            </w:r>
                            <w:r>
                              <w:t xml:space="preserve"> The task force will seek recommendations that have high value and are meaningful to Minnesota’s health care reform efforts</w:t>
                            </w:r>
                            <w:r w:rsidR="00164144">
                              <w:t>.</w:t>
                            </w:r>
                          </w:p>
                          <w:p w14:paraId="10C778E5" w14:textId="77777777" w:rsidR="0023228B" w:rsidRDefault="0023228B" w:rsidP="00ED71EE">
                            <w:pPr>
                              <w:ind w:left="720"/>
                            </w:pPr>
                            <w:r w:rsidRPr="0023228B">
                              <w:rPr>
                                <w:b/>
                                <w:i/>
                              </w:rPr>
                              <w:t>Holistic Perspective:</w:t>
                            </w:r>
                            <w:r>
                              <w:t xml:space="preserve"> The task force understands that health care finance and our recommendations do not exist in a vacuum, and are components of the health care and population health systems</w:t>
                            </w:r>
                          </w:p>
                          <w:p w14:paraId="10C778E6" w14:textId="77777777" w:rsidR="0023228B" w:rsidRDefault="0023228B" w:rsidP="00ED71EE">
                            <w:pPr>
                              <w:ind w:left="720"/>
                            </w:pPr>
                            <w:r w:rsidRPr="0023228B">
                              <w:rPr>
                                <w:b/>
                                <w:i/>
                              </w:rPr>
                              <w:t>Focus:</w:t>
                            </w:r>
                            <w:r>
                              <w:t xml:space="preserve"> The task force recognizes that health care financing and system reform is extremely complex and it will contribute to the broader policy debates by focusing its time and attention on the issues it is charged with addressing. </w:t>
                            </w:r>
                          </w:p>
                          <w:p w14:paraId="10C778E7" w14:textId="77777777" w:rsidR="0023228B" w:rsidRDefault="0023228B" w:rsidP="00ED71EE">
                            <w:pPr>
                              <w:ind w:left="720"/>
                            </w:pPr>
                            <w:r w:rsidRPr="0023228B">
                              <w:rPr>
                                <w:b/>
                                <w:i/>
                              </w:rPr>
                              <w:t>Innovation:</w:t>
                            </w:r>
                            <w:r>
                              <w:t xml:space="preserve"> The task force is encouraged to identify opportunities for innovation in Minnesota’s health care financing and delivery systems which show promise for lowering costs, improving population health and improving the patient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C0CD312" id="_x0000_t202" coordsize="21600,21600" o:spt="202" path="m,l,21600r21600,l21600,xe">
                <v:stroke joinstyle="miter"/>
                <v:path gradientshapeok="t" o:connecttype="rect"/>
              </v:shapetype>
              <v:shape id="Text Box 3" o:spid="_x0000_s1026" type="#_x0000_t202" style="width:538.1pt;height:24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" fillcolor="white [3201]" strokeweight=".5pt">
                <v:textbox>
                  <w:txbxContent>
                    <w:p w14:paraId="10C778E0" w14:textId="77777777" w:rsidR="0023228B" w:rsidRPr="00ED71EE" w:rsidRDefault="0023228B" w:rsidP="0023228B">
                      <w:pPr>
                        <w:jc w:val="center"/>
                        <w:rPr>
                          <w:b/>
                          <w:sz w:val="24"/>
                        </w:rPr>
                      </w:pPr>
                      <w:r w:rsidRPr="00ED71EE">
                        <w:rPr>
                          <w:b/>
                          <w:sz w:val="24"/>
                        </w:rPr>
                        <w:t>Health Care Financing Task Force</w:t>
                      </w:r>
                    </w:p>
                    <w:p w14:paraId="10C778E1" w14:textId="77777777" w:rsidR="0023228B" w:rsidRDefault="0023228B" w:rsidP="0023228B">
                      <w:r w:rsidRPr="0023228B">
                        <w:rPr>
                          <w:b/>
                          <w:u w:val="single"/>
                        </w:rPr>
                        <w:t>Vision</w:t>
                      </w:r>
                      <w:r w:rsidRPr="0023228B">
                        <w:rPr>
                          <w:b/>
                        </w:rPr>
                        <w:t>:</w:t>
                      </w:r>
                      <w:r>
                        <w:t xml:space="preserve"> Sustainable, quality health care for all Minnesotans</w:t>
                      </w:r>
                    </w:p>
                    <w:p w14:paraId="10C778E2" w14:textId="77777777" w:rsidR="0023228B" w:rsidRPr="00415577" w:rsidRDefault="0023228B" w:rsidP="0023228B">
                      <w:pPr>
                        <w:rPr>
                          <w:b/>
                        </w:rPr>
                      </w:pPr>
                      <w:r w:rsidRPr="0023228B">
                        <w:rPr>
                          <w:b/>
                          <w:u w:val="single"/>
                        </w:rPr>
                        <w:t>Guiding Principles</w:t>
                      </w:r>
                      <w:r w:rsidR="00415577">
                        <w:rPr>
                          <w:b/>
                        </w:rPr>
                        <w:t>:</w:t>
                      </w:r>
                    </w:p>
                    <w:p w14:paraId="10C778E3" w14:textId="77777777" w:rsidR="0023228B" w:rsidRDefault="0023228B" w:rsidP="00ED71EE">
                      <w:pPr>
                        <w:ind w:left="720"/>
                      </w:pPr>
                      <w:r w:rsidRPr="0023228B">
                        <w:rPr>
                          <w:b/>
                          <w:i/>
                        </w:rPr>
                        <w:t xml:space="preserve">Realistic: </w:t>
                      </w:r>
                      <w:r>
                        <w:t>The task force will make recommendations that can realistically be implemented</w:t>
                      </w:r>
                      <w:r w:rsidR="00164144">
                        <w:t>.</w:t>
                      </w:r>
                    </w:p>
                    <w:p w14:paraId="10C778E4" w14:textId="77777777" w:rsidR="0023228B" w:rsidRDefault="0023228B" w:rsidP="00ED71EE">
                      <w:pPr>
                        <w:ind w:left="720"/>
                      </w:pPr>
                      <w:r w:rsidRPr="0023228B">
                        <w:rPr>
                          <w:b/>
                          <w:i/>
                        </w:rPr>
                        <w:t>High Value Impact:</w:t>
                      </w:r>
                      <w:r>
                        <w:t xml:space="preserve"> The task force will seek recommendations that have high value and are meaningful to Minnesota’s health care reform efforts</w:t>
                      </w:r>
                      <w:r w:rsidR="00164144">
                        <w:t>.</w:t>
                      </w:r>
                    </w:p>
                    <w:p w14:paraId="10C778E5" w14:textId="77777777" w:rsidR="0023228B" w:rsidRDefault="0023228B" w:rsidP="00ED71EE">
                      <w:pPr>
                        <w:ind w:left="720"/>
                      </w:pPr>
                      <w:r w:rsidRPr="0023228B">
                        <w:rPr>
                          <w:b/>
                          <w:i/>
                        </w:rPr>
                        <w:t>Holistic Perspective:</w:t>
                      </w:r>
                      <w:r>
                        <w:t xml:space="preserve"> The task force understands that health care finance and our recommendations do not exist in a vacuum, and are components of the health care and population health systems</w:t>
                      </w:r>
                    </w:p>
                    <w:p w14:paraId="10C778E6" w14:textId="77777777" w:rsidR="0023228B" w:rsidRDefault="0023228B" w:rsidP="00ED71EE">
                      <w:pPr>
                        <w:ind w:left="720"/>
                      </w:pPr>
                      <w:r w:rsidRPr="0023228B">
                        <w:rPr>
                          <w:b/>
                          <w:i/>
                        </w:rPr>
                        <w:t>Focus:</w:t>
                      </w:r>
                      <w:r>
                        <w:t xml:space="preserve"> The task force recognizes that health care financing and system reform is extremely complex and it will contribute to the broader policy debates by focusing its time and attention on the issues it is charged with addressing. </w:t>
                      </w:r>
                    </w:p>
                    <w:p w14:paraId="10C778E7" w14:textId="77777777" w:rsidR="0023228B" w:rsidRDefault="0023228B" w:rsidP="00ED71EE">
                      <w:pPr>
                        <w:ind w:left="720"/>
                      </w:pPr>
                      <w:r w:rsidRPr="0023228B">
                        <w:rPr>
                          <w:b/>
                          <w:i/>
                        </w:rPr>
                        <w:t>Innovation:</w:t>
                      </w:r>
                      <w:r>
                        <w:t xml:space="preserve"> The task force is encouraged to identify opportunities for innovation in Minnesota’s health care financing and delivery systems which show promise for lowering costs, improving population health and improving the patient experience.</w:t>
                      </w:r>
                    </w:p>
                  </w:txbxContent>
                </v:textbox>
                <w10:anchorlock/>
              </v:shape>
            </w:pict>
          </mc:Fallback>
        </mc:AlternateContent>
      </w:r>
      <w:bookmarkStart w:id="0" w:name="_GoBack"/>
      <w:bookmarkEnd w:id="0"/>
    </w:p>
    <w:p w14:paraId="10C778D0" w14:textId="587D40FA" w:rsidR="002169AB" w:rsidRPr="00383739" w:rsidRDefault="002169AB" w:rsidP="002169AB">
      <w:pPr>
        <w:spacing w:before="480" w:line="200" w:lineRule="exact"/>
      </w:pPr>
    </w:p>
    <w:sectPr w:rsidR="002169AB" w:rsidRPr="00383739" w:rsidSect="006406F9">
      <w:headerReference w:type="default" r:id="rId11"/>
      <w:footerReference w:type="default" r:id="rId12"/>
      <w:headerReference w:type="first" r:id="rId13"/>
      <w:footerReference w:type="first" r:id="rId14"/>
      <w:pgSz w:w="12240" w:h="15840" w:code="1"/>
      <w:pgMar w:top="720" w:right="720" w:bottom="720" w:left="720" w:header="576"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244DC" w14:textId="77777777" w:rsidR="00993271" w:rsidRDefault="00993271" w:rsidP="003C1BA8">
      <w:r>
        <w:separator/>
      </w:r>
    </w:p>
  </w:endnote>
  <w:endnote w:type="continuationSeparator" w:id="0">
    <w:p w14:paraId="5FAAE23C" w14:textId="77777777" w:rsidR="00993271" w:rsidRDefault="00993271" w:rsidP="003C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591269"/>
      <w:docPartObj>
        <w:docPartGallery w:val="Page Numbers (Bottom of Page)"/>
        <w:docPartUnique/>
      </w:docPartObj>
    </w:sdtPr>
    <w:sdtEndPr>
      <w:rPr>
        <w:color w:val="7F7F7F" w:themeColor="background1" w:themeShade="7F"/>
        <w:spacing w:val="60"/>
        <w:sz w:val="20"/>
        <w:szCs w:val="20"/>
      </w:rPr>
    </w:sdtEndPr>
    <w:sdtContent>
      <w:p w14:paraId="10C778D9" w14:textId="4D870E06" w:rsidR="00206C5B" w:rsidRPr="00D04754" w:rsidRDefault="00833D3E" w:rsidP="00D04754">
        <w:pPr>
          <w:pStyle w:val="Footer"/>
          <w:pBdr>
            <w:top w:val="single" w:sz="4" w:space="0" w:color="D9D9D9" w:themeColor="background1" w:themeShade="D9"/>
          </w:pBdr>
          <w:jc w:val="right"/>
          <w:rPr>
            <w:b/>
            <w:bCs/>
            <w:sz w:val="20"/>
            <w:szCs w:val="20"/>
          </w:rPr>
        </w:pPr>
        <w:r w:rsidRPr="00833D3E">
          <w:rPr>
            <w:sz w:val="20"/>
            <w:szCs w:val="20"/>
          </w:rPr>
          <w:fldChar w:fldCharType="begin"/>
        </w:r>
        <w:r w:rsidRPr="00833D3E">
          <w:rPr>
            <w:sz w:val="20"/>
            <w:szCs w:val="20"/>
          </w:rPr>
          <w:instrText xml:space="preserve"> PAGE   \* MERGEFORMAT </w:instrText>
        </w:r>
        <w:r w:rsidRPr="00833D3E">
          <w:rPr>
            <w:sz w:val="20"/>
            <w:szCs w:val="20"/>
          </w:rPr>
          <w:fldChar w:fldCharType="separate"/>
        </w:r>
        <w:r w:rsidR="00D04754" w:rsidRPr="00D04754">
          <w:rPr>
            <w:b/>
            <w:bCs/>
            <w:noProof/>
            <w:sz w:val="20"/>
            <w:szCs w:val="20"/>
          </w:rPr>
          <w:t>3</w:t>
        </w:r>
        <w:r w:rsidRPr="00833D3E">
          <w:rPr>
            <w:b/>
            <w:bCs/>
            <w:noProof/>
            <w:sz w:val="20"/>
            <w:szCs w:val="20"/>
          </w:rPr>
          <w:fldChar w:fldCharType="end"/>
        </w:r>
        <w:r w:rsidRPr="00833D3E">
          <w:rPr>
            <w:b/>
            <w:bCs/>
            <w:sz w:val="20"/>
            <w:szCs w:val="20"/>
          </w:rPr>
          <w:t xml:space="preserve"> | </w:t>
        </w:r>
        <w:r w:rsidRPr="00833D3E">
          <w:rPr>
            <w:color w:val="7F7F7F" w:themeColor="background1" w:themeShade="7F"/>
            <w:spacing w:val="60"/>
            <w:sz w:val="20"/>
            <w:szCs w:val="20"/>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778DB" w14:textId="77777777" w:rsidR="00261C88" w:rsidRDefault="00261C88" w:rsidP="00032826">
    <w:pPr>
      <w:pStyle w:val="Footer"/>
      <w:tabs>
        <w:tab w:val="clear" w:pos="9360"/>
        <w:tab w:val="left" w:pos="8280"/>
        <w:tab w:val="right" w:pos="10800"/>
      </w:tabs>
    </w:pPr>
    <w:r>
      <w:tab/>
    </w:r>
    <w:r w:rsidR="007A7AC2">
      <w:rPr>
        <w:noProof/>
      </w:rPr>
      <mc:AlternateContent>
        <mc:Choice Requires="wpg">
          <w:drawing>
            <wp:inline distT="0" distB="0" distL="0" distR="0" wp14:anchorId="10C778DE" wp14:editId="10C778DF">
              <wp:extent cx="6899910" cy="870851"/>
              <wp:effectExtent l="0" t="0" r="34290" b="5715"/>
              <wp:docPr id="1" name="Group 1" descr="Health Care Financing Task Force contact information" title="Task Force"/>
              <wp:cNvGraphicFramePr/>
              <a:graphic xmlns:a="http://schemas.openxmlformats.org/drawingml/2006/main">
                <a:graphicData uri="http://schemas.microsoft.com/office/word/2010/wordprocessingGroup">
                  <wpg:wgp>
                    <wpg:cNvGrpSpPr/>
                    <wpg:grpSpPr>
                      <a:xfrm>
                        <a:off x="0" y="0"/>
                        <a:ext cx="6899910" cy="870851"/>
                        <a:chOff x="0" y="0"/>
                        <a:chExt cx="6899910" cy="870851"/>
                      </a:xfrm>
                    </wpg:grpSpPr>
                    <wps:wsp>
                      <wps:cNvPr id="215" name="Straight Connector 215"/>
                      <wps:cNvCnPr/>
                      <wps:spPr>
                        <a:xfrm>
                          <a:off x="0" y="0"/>
                          <a:ext cx="68999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1265" y="148766"/>
                          <a:ext cx="3493769" cy="612774"/>
                        </a:xfrm>
                        <a:prstGeom prst="rect">
                          <a:avLst/>
                        </a:prstGeom>
                        <a:solidFill>
                          <a:srgbClr val="FFFFFF"/>
                        </a:solidFill>
                        <a:ln w="9525">
                          <a:noFill/>
                          <a:miter lim="800000"/>
                          <a:headEnd/>
                          <a:tailEnd/>
                        </a:ln>
                      </wps:spPr>
                      <wps:txbx>
                        <w:txbxContent>
                          <w:p w14:paraId="10C778E8"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10C778E9" w14:textId="77777777" w:rsidR="007A7AC2" w:rsidRDefault="007A7AC2" w:rsidP="007A7AC2">
                            <w:pPr>
                              <w:spacing w:after="0"/>
                            </w:pPr>
                            <w:r>
                              <w:t xml:space="preserve">Contact: </w:t>
                            </w:r>
                            <w:r>
                              <w:rPr>
                                <w:rFonts w:eastAsiaTheme="minorHAnsi" w:cstheme="minorBidi"/>
                                <w:szCs w:val="22"/>
                              </w:rPr>
                              <w:t>dhs.hcfinancingtaskforce@</w:t>
                            </w:r>
                            <w:r w:rsidR="00BD70D7">
                              <w:rPr>
                                <w:rFonts w:eastAsiaTheme="minorHAnsi" w:cstheme="minorBidi"/>
                                <w:szCs w:val="22"/>
                              </w:rPr>
                              <w:t>State</w:t>
                            </w:r>
                            <w:r>
                              <w:rPr>
                                <w:rFonts w:eastAsiaTheme="minorHAnsi" w:cstheme="minorBidi"/>
                                <w:szCs w:val="22"/>
                              </w:rPr>
                              <w:t>.mn.us</w:t>
                            </w:r>
                          </w:p>
                        </w:txbxContent>
                      </wps:txbx>
                      <wps:bodyPr rot="0" vert="horz" wrap="square" lIns="91440" tIns="45720" rIns="91440" bIns="45720" anchor="t" anchorCtr="0">
                        <a:spAutoFit/>
                      </wps:bodyPr>
                    </wps:wsp>
                    <pic:pic xmlns:pic="http://schemas.openxmlformats.org/drawingml/2006/picture">
                      <pic:nvPicPr>
                        <pic:cNvPr id="212" name="Picture 212" descr="Q:\New\Images\Partner Logos\DHS\DHS Logo with text, 3 inch.png" title="DHS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5295014" y="148856"/>
                          <a:ext cx="1544955" cy="721995"/>
                        </a:xfrm>
                        <a:prstGeom prst="rect">
                          <a:avLst/>
                        </a:prstGeom>
                        <a:noFill/>
                        <a:extLst/>
                      </pic:spPr>
                    </pic:pic>
                  </wpg:wgp>
                </a:graphicData>
              </a:graphic>
            </wp:inline>
          </w:drawing>
        </mc:Choice>
        <mc:Fallback>
          <w:pict>
            <v:group w14:anchorId="10C778DE" id="Group 1" o:spid="_x0000_s1027" alt="Title: Task Force - Description: Health Care Financing Task Force contact information" style="width:543.3pt;height:68.55pt;mso-position-horizontal-relative:char;mso-position-vertical-relative:line" coordsize="68999,8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">
              <v:line id="Straight Connector 215" o:spid="_x0000_s1028" style="position:absolute;visibility:visible;mso-wrap-style:square" from="0,0" to="689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VfsUAAADcAAAADwAAAGRycy9kb3ducmV2LnhtbESP0WrCQBRE3wv9h+UWfBGzScDWplml&#10;FKuCRTDtB1yy1ySYvRuyW5P+fVcQfBxm5gyTr0bTigv1rrGsIIliEMSl1Q1XCn6+P2cLEM4ja2wt&#10;k4I/crBaPj7kmGk78JEuha9EgLDLUEHtfZdJ6cqaDLrIdsTBO9neoA+yr6TucQhw08o0jp+lwYbD&#10;Qo0dfdRUnotfo6D7Gl72h/102JbFeqPbqTfEr0pNnsb3NxCeRn8P39o7rSBN5nA9E46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VfsUAAADcAAAADwAAAAAAAAAA&#10;AAAAAAChAgAAZHJzL2Rvd25yZXYueG1sUEsFBgAAAAAEAAQA+QAAAJMDAAAAAA==&#10;" strokecolor="#bfbfbf [2412]"/>
              <v:shapetype id="_x0000_t202" coordsize="21600,21600" o:spt="202" path="m,l,21600r21600,l21600,xe">
                <v:stroke joinstyle="miter"/>
                <v:path gradientshapeok="t" o:connecttype="rect"/>
              </v:shapetype>
              <v:shape id="Text Box 2" o:spid="_x0000_s1029" type="#_x0000_t202" style="position:absolute;left:212;top:1487;width:34938;height:6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10C778E8"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10C778E9" w14:textId="77777777" w:rsidR="007A7AC2" w:rsidRDefault="007A7AC2" w:rsidP="007A7AC2">
                      <w:pPr>
                        <w:spacing w:after="0"/>
                      </w:pPr>
                      <w:r>
                        <w:t xml:space="preserve">Contact: </w:t>
                      </w:r>
                      <w:r>
                        <w:rPr>
                          <w:rFonts w:eastAsiaTheme="minorHAnsi" w:cstheme="minorBidi"/>
                          <w:szCs w:val="22"/>
                        </w:rPr>
                        <w:t>dhs.hcfinancingtaskforce@</w:t>
                      </w:r>
                      <w:r w:rsidR="00BD70D7">
                        <w:rPr>
                          <w:rFonts w:eastAsiaTheme="minorHAnsi" w:cstheme="minorBidi"/>
                          <w:szCs w:val="22"/>
                        </w:rPr>
                        <w:t>State</w:t>
                      </w:r>
                      <w:r>
                        <w:rPr>
                          <w:rFonts w:eastAsiaTheme="minorHAnsi" w:cstheme="minorBidi"/>
                          <w:szCs w:val="22"/>
                        </w:rPr>
                        <w:t>.mn.us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30" type="#_x0000_t75" style="position:absolute;left:52950;top:1488;width:15449;height:7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JESrGAAAA3AAAAA8AAABkcnMvZG93bnJldi54bWxEj0FrAjEUhO+F/ofwCr3VrHsQuxpFLaUi&#10;peBaPT83z93g5mWbpLr9901B6HGYmW+Y6by3rbiQD8axguEgA0FcOW24VvC5e30agwgRWWPrmBT8&#10;UID57P5uioV2V97SpYy1SBAOBSpoYuwKKUPVkMUwcB1x8k7OW4xJ+lpqj9cEt63Ms2wkLRpOCw12&#10;tGqoOpffVsH+7WV3HD2/+8Palx8rs/1yZrlR6vGhX0xAROrjf/jWXmsF+TCHvzPpCMj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4kRKsYAAADcAAAADwAAAAAAAAAAAAAA&#10;AACfAgAAZHJzL2Rvd25yZXYueG1sUEsFBgAAAAAEAAQA9wAAAJIDAAAAAA==&#10;">
                <v:imagedata r:id="rId2" o:title="DHS Logo with text, 3 inch"/>
                <v:path arrowok="t"/>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9E5F9" w14:textId="77777777" w:rsidR="00993271" w:rsidRDefault="00993271" w:rsidP="003C1BA8">
      <w:r>
        <w:separator/>
      </w:r>
    </w:p>
  </w:footnote>
  <w:footnote w:type="continuationSeparator" w:id="0">
    <w:p w14:paraId="4C4E30AE" w14:textId="77777777" w:rsidR="00993271" w:rsidRDefault="00993271" w:rsidP="003C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778D7" w14:textId="77777777" w:rsidR="00833D3E" w:rsidRDefault="00833D3E" w:rsidP="00833D3E">
    <w:pPr>
      <w:pStyle w:val="Title"/>
    </w:pPr>
    <w:r w:rsidRPr="00833D3E">
      <w:rPr>
        <w:b/>
        <w:sz w:val="20"/>
        <w:szCs w:val="20"/>
      </w:rPr>
      <w:t>2015 Health Care Financing Task Force Members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778DA" w14:textId="77777777" w:rsidR="00295581" w:rsidRDefault="006406F9" w:rsidP="006406F9">
    <w:pPr>
      <w:pStyle w:val="Header"/>
      <w:tabs>
        <w:tab w:val="clear" w:pos="9360"/>
        <w:tab w:val="left" w:pos="5828"/>
      </w:tabs>
    </w:pPr>
    <w:r>
      <w:rPr>
        <w:noProof/>
      </w:rPr>
      <w:drawing>
        <wp:inline distT="0" distB="0" distL="0" distR="0" wp14:anchorId="10C778DC" wp14:editId="10C778DD">
          <wp:extent cx="3381375" cy="771525"/>
          <wp:effectExtent l="0" t="0" r="9525" b="9525"/>
          <wp:docPr id="2" name="Picture 2" descr="Minnesota Health Care Financing Task Forc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ftf-logo.jpg"/>
                  <pic:cNvPicPr/>
                </pic:nvPicPr>
                <pic:blipFill>
                  <a:blip r:embed="rId1">
                    <a:extLst>
                      <a:ext uri="{28A0092B-C50C-407E-A947-70E740481C1C}">
                        <a14:useLocalDpi xmlns:a14="http://schemas.microsoft.com/office/drawing/2010/main" val="0"/>
                      </a:ext>
                    </a:extLst>
                  </a:blip>
                  <a:stretch>
                    <a:fillRect/>
                  </a:stretch>
                </pic:blipFill>
                <pic:spPr>
                  <a:xfrm>
                    <a:off x="0" y="0"/>
                    <a:ext cx="3381375" cy="77152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FDB"/>
    <w:multiLevelType w:val="hybridMultilevel"/>
    <w:tmpl w:val="CE78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E3309"/>
    <w:multiLevelType w:val="hybridMultilevel"/>
    <w:tmpl w:val="526E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40386"/>
    <w:multiLevelType w:val="hybridMultilevel"/>
    <w:tmpl w:val="CB82F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62AF8"/>
    <w:multiLevelType w:val="hybridMultilevel"/>
    <w:tmpl w:val="B6300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070410"/>
    <w:multiLevelType w:val="hybridMultilevel"/>
    <w:tmpl w:val="0D302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034F77"/>
    <w:multiLevelType w:val="hybridMultilevel"/>
    <w:tmpl w:val="8B0CAE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A7F3CBA"/>
    <w:multiLevelType w:val="hybridMultilevel"/>
    <w:tmpl w:val="B1B2A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B33978"/>
    <w:multiLevelType w:val="hybridMultilevel"/>
    <w:tmpl w:val="FCF4C5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32440651"/>
    <w:multiLevelType w:val="multilevel"/>
    <w:tmpl w:val="8C1EBDA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3387AF9"/>
    <w:multiLevelType w:val="hybridMultilevel"/>
    <w:tmpl w:val="CC706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30081"/>
    <w:multiLevelType w:val="hybridMultilevel"/>
    <w:tmpl w:val="F4109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325E6"/>
    <w:multiLevelType w:val="hybridMultilevel"/>
    <w:tmpl w:val="416A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5060D"/>
    <w:multiLevelType w:val="hybridMultilevel"/>
    <w:tmpl w:val="A830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72593"/>
    <w:multiLevelType w:val="hybridMultilevel"/>
    <w:tmpl w:val="894C9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04203"/>
    <w:multiLevelType w:val="hybridMultilevel"/>
    <w:tmpl w:val="828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7265A"/>
    <w:multiLevelType w:val="hybridMultilevel"/>
    <w:tmpl w:val="E4DE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D637A"/>
    <w:multiLevelType w:val="hybridMultilevel"/>
    <w:tmpl w:val="3CE6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F3CB4"/>
    <w:multiLevelType w:val="hybridMultilevel"/>
    <w:tmpl w:val="02249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0669A7"/>
    <w:multiLevelType w:val="hybridMultilevel"/>
    <w:tmpl w:val="16144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65FF8"/>
    <w:multiLevelType w:val="hybridMultilevel"/>
    <w:tmpl w:val="E9EA5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83BAB"/>
    <w:multiLevelType w:val="hybridMultilevel"/>
    <w:tmpl w:val="9536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4547B"/>
    <w:multiLevelType w:val="hybridMultilevel"/>
    <w:tmpl w:val="681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77459"/>
    <w:multiLevelType w:val="hybridMultilevel"/>
    <w:tmpl w:val="8790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71E7E"/>
    <w:multiLevelType w:val="hybridMultilevel"/>
    <w:tmpl w:val="F594AF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005736"/>
    <w:multiLevelType w:val="hybridMultilevel"/>
    <w:tmpl w:val="F2C88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5455BE"/>
    <w:multiLevelType w:val="hybridMultilevel"/>
    <w:tmpl w:val="640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574B2"/>
    <w:multiLevelType w:val="hybridMultilevel"/>
    <w:tmpl w:val="42CCF4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7C6A4077"/>
    <w:multiLevelType w:val="hybridMultilevel"/>
    <w:tmpl w:val="C51EB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4"/>
  </w:num>
  <w:num w:numId="3">
    <w:abstractNumId w:val="17"/>
  </w:num>
  <w:num w:numId="4">
    <w:abstractNumId w:val="7"/>
  </w:num>
  <w:num w:numId="5">
    <w:abstractNumId w:val="26"/>
  </w:num>
  <w:num w:numId="6">
    <w:abstractNumId w:val="5"/>
  </w:num>
  <w:num w:numId="7">
    <w:abstractNumId w:val="0"/>
  </w:num>
  <w:num w:numId="8">
    <w:abstractNumId w:val="21"/>
  </w:num>
  <w:num w:numId="9">
    <w:abstractNumId w:val="16"/>
  </w:num>
  <w:num w:numId="10">
    <w:abstractNumId w:val="25"/>
  </w:num>
  <w:num w:numId="11">
    <w:abstractNumId w:val="14"/>
  </w:num>
  <w:num w:numId="12">
    <w:abstractNumId w:val="3"/>
  </w:num>
  <w:num w:numId="13">
    <w:abstractNumId w:val="9"/>
  </w:num>
  <w:num w:numId="14">
    <w:abstractNumId w:val="10"/>
  </w:num>
  <w:num w:numId="15">
    <w:abstractNumId w:val="2"/>
  </w:num>
  <w:num w:numId="16">
    <w:abstractNumId w:val="18"/>
  </w:num>
  <w:num w:numId="17">
    <w:abstractNumId w:val="13"/>
  </w:num>
  <w:num w:numId="18">
    <w:abstractNumId w:val="1"/>
  </w:num>
  <w:num w:numId="19">
    <w:abstractNumId w:val="27"/>
  </w:num>
  <w:num w:numId="20">
    <w:abstractNumId w:val="11"/>
  </w:num>
  <w:num w:numId="21">
    <w:abstractNumId w:val="12"/>
  </w:num>
  <w:num w:numId="22">
    <w:abstractNumId w:val="23"/>
  </w:num>
  <w:num w:numId="23">
    <w:abstractNumId w:val="20"/>
  </w:num>
  <w:num w:numId="24">
    <w:abstractNumId w:val="8"/>
  </w:num>
  <w:num w:numId="25">
    <w:abstractNumId w:val="24"/>
  </w:num>
  <w:num w:numId="26">
    <w:abstractNumId w:val="22"/>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2"/>
    <w:docVar w:name="MPDocID" w:val="203265470.2"/>
    <w:docVar w:name="MPDocIDTemplateDefault" w:val="%n|.%v"/>
    <w:docVar w:name="NewDocStampType" w:val="7"/>
  </w:docVars>
  <w:rsids>
    <w:rsidRoot w:val="004939AD"/>
    <w:rsid w:val="000155CC"/>
    <w:rsid w:val="00016335"/>
    <w:rsid w:val="00032826"/>
    <w:rsid w:val="000408FA"/>
    <w:rsid w:val="00052167"/>
    <w:rsid w:val="00056FAA"/>
    <w:rsid w:val="0006799E"/>
    <w:rsid w:val="00074D71"/>
    <w:rsid w:val="00086179"/>
    <w:rsid w:val="00096B4E"/>
    <w:rsid w:val="000A0D4D"/>
    <w:rsid w:val="000A7E3F"/>
    <w:rsid w:val="000B374F"/>
    <w:rsid w:val="000F5991"/>
    <w:rsid w:val="000F769D"/>
    <w:rsid w:val="001053D2"/>
    <w:rsid w:val="001111D4"/>
    <w:rsid w:val="00113696"/>
    <w:rsid w:val="00117B4F"/>
    <w:rsid w:val="001445DD"/>
    <w:rsid w:val="001502D2"/>
    <w:rsid w:val="00155822"/>
    <w:rsid w:val="00164144"/>
    <w:rsid w:val="00167440"/>
    <w:rsid w:val="0018535F"/>
    <w:rsid w:val="00194E41"/>
    <w:rsid w:val="001A033C"/>
    <w:rsid w:val="001A7EEC"/>
    <w:rsid w:val="001B15A4"/>
    <w:rsid w:val="001B1BB2"/>
    <w:rsid w:val="001B3332"/>
    <w:rsid w:val="001F330A"/>
    <w:rsid w:val="001F730D"/>
    <w:rsid w:val="0020245F"/>
    <w:rsid w:val="00206C5B"/>
    <w:rsid w:val="002169AB"/>
    <w:rsid w:val="0023228B"/>
    <w:rsid w:val="0023423E"/>
    <w:rsid w:val="002603D7"/>
    <w:rsid w:val="00261C88"/>
    <w:rsid w:val="002625B3"/>
    <w:rsid w:val="00265544"/>
    <w:rsid w:val="00271347"/>
    <w:rsid w:val="00277DF7"/>
    <w:rsid w:val="00282687"/>
    <w:rsid w:val="00287F24"/>
    <w:rsid w:val="00293CED"/>
    <w:rsid w:val="00295581"/>
    <w:rsid w:val="002B68CD"/>
    <w:rsid w:val="002D3A3B"/>
    <w:rsid w:val="002D4281"/>
    <w:rsid w:val="002D4C6A"/>
    <w:rsid w:val="00304D1E"/>
    <w:rsid w:val="00314455"/>
    <w:rsid w:val="00325073"/>
    <w:rsid w:val="00326333"/>
    <w:rsid w:val="00335613"/>
    <w:rsid w:val="00341D66"/>
    <w:rsid w:val="00342131"/>
    <w:rsid w:val="0034405D"/>
    <w:rsid w:val="0034528C"/>
    <w:rsid w:val="00345C6B"/>
    <w:rsid w:val="00360125"/>
    <w:rsid w:val="00363C16"/>
    <w:rsid w:val="00364DDF"/>
    <w:rsid w:val="003740F5"/>
    <w:rsid w:val="00377E55"/>
    <w:rsid w:val="00383739"/>
    <w:rsid w:val="003B4E38"/>
    <w:rsid w:val="003C1BA8"/>
    <w:rsid w:val="003D5334"/>
    <w:rsid w:val="003E0E60"/>
    <w:rsid w:val="003E6EA8"/>
    <w:rsid w:val="003F56DA"/>
    <w:rsid w:val="00404E22"/>
    <w:rsid w:val="00415577"/>
    <w:rsid w:val="0042287E"/>
    <w:rsid w:val="00445928"/>
    <w:rsid w:val="004464B3"/>
    <w:rsid w:val="00450668"/>
    <w:rsid w:val="0046778D"/>
    <w:rsid w:val="004939AD"/>
    <w:rsid w:val="004D1AF2"/>
    <w:rsid w:val="004D7730"/>
    <w:rsid w:val="005001F3"/>
    <w:rsid w:val="005244D9"/>
    <w:rsid w:val="00536750"/>
    <w:rsid w:val="00542B7C"/>
    <w:rsid w:val="00551A5E"/>
    <w:rsid w:val="00551E96"/>
    <w:rsid w:val="00557369"/>
    <w:rsid w:val="0056255D"/>
    <w:rsid w:val="00574780"/>
    <w:rsid w:val="005761BC"/>
    <w:rsid w:val="00582235"/>
    <w:rsid w:val="0058322B"/>
    <w:rsid w:val="005862F9"/>
    <w:rsid w:val="00587469"/>
    <w:rsid w:val="005B06EE"/>
    <w:rsid w:val="005B7CD7"/>
    <w:rsid w:val="005C6630"/>
    <w:rsid w:val="005D2A96"/>
    <w:rsid w:val="005E050F"/>
    <w:rsid w:val="005E1375"/>
    <w:rsid w:val="005E3A4E"/>
    <w:rsid w:val="005E3DE6"/>
    <w:rsid w:val="005F7F1D"/>
    <w:rsid w:val="00613553"/>
    <w:rsid w:val="006216BA"/>
    <w:rsid w:val="00636BF3"/>
    <w:rsid w:val="006406F9"/>
    <w:rsid w:val="00663F29"/>
    <w:rsid w:val="006A6AD4"/>
    <w:rsid w:val="006B560C"/>
    <w:rsid w:val="006B5B9F"/>
    <w:rsid w:val="006C712C"/>
    <w:rsid w:val="006D68DA"/>
    <w:rsid w:val="006F4045"/>
    <w:rsid w:val="006F452E"/>
    <w:rsid w:val="00703A64"/>
    <w:rsid w:val="00706FA2"/>
    <w:rsid w:val="00722009"/>
    <w:rsid w:val="007256D3"/>
    <w:rsid w:val="0074353E"/>
    <w:rsid w:val="00762220"/>
    <w:rsid w:val="00763EA4"/>
    <w:rsid w:val="00771D49"/>
    <w:rsid w:val="007A3C8B"/>
    <w:rsid w:val="007A7AC2"/>
    <w:rsid w:val="007B2C83"/>
    <w:rsid w:val="007C3279"/>
    <w:rsid w:val="007C6E4D"/>
    <w:rsid w:val="007E5F17"/>
    <w:rsid w:val="008110BA"/>
    <w:rsid w:val="00833D3E"/>
    <w:rsid w:val="00843806"/>
    <w:rsid w:val="008768E8"/>
    <w:rsid w:val="008859D0"/>
    <w:rsid w:val="008A1053"/>
    <w:rsid w:val="008A3ABE"/>
    <w:rsid w:val="008A541A"/>
    <w:rsid w:val="008B0BFC"/>
    <w:rsid w:val="008B35F5"/>
    <w:rsid w:val="008D1CC2"/>
    <w:rsid w:val="008D7E81"/>
    <w:rsid w:val="008F70EB"/>
    <w:rsid w:val="0090211C"/>
    <w:rsid w:val="0090518D"/>
    <w:rsid w:val="00906E92"/>
    <w:rsid w:val="00936B3A"/>
    <w:rsid w:val="009437B9"/>
    <w:rsid w:val="00947C0F"/>
    <w:rsid w:val="00993271"/>
    <w:rsid w:val="009A04CD"/>
    <w:rsid w:val="009B406D"/>
    <w:rsid w:val="009B50AD"/>
    <w:rsid w:val="009E5D88"/>
    <w:rsid w:val="00A31069"/>
    <w:rsid w:val="00A47F87"/>
    <w:rsid w:val="00A501E5"/>
    <w:rsid w:val="00A632EE"/>
    <w:rsid w:val="00A6759A"/>
    <w:rsid w:val="00A74853"/>
    <w:rsid w:val="00AB317C"/>
    <w:rsid w:val="00AB7371"/>
    <w:rsid w:val="00AD5325"/>
    <w:rsid w:val="00B0757B"/>
    <w:rsid w:val="00B1057B"/>
    <w:rsid w:val="00B12B40"/>
    <w:rsid w:val="00B44004"/>
    <w:rsid w:val="00B80250"/>
    <w:rsid w:val="00B803F1"/>
    <w:rsid w:val="00B85BA5"/>
    <w:rsid w:val="00BA1C2F"/>
    <w:rsid w:val="00BD70D7"/>
    <w:rsid w:val="00BE1736"/>
    <w:rsid w:val="00BF2751"/>
    <w:rsid w:val="00BF3207"/>
    <w:rsid w:val="00BF70E6"/>
    <w:rsid w:val="00BF7D50"/>
    <w:rsid w:val="00C01D07"/>
    <w:rsid w:val="00C10E48"/>
    <w:rsid w:val="00C358AA"/>
    <w:rsid w:val="00C36C99"/>
    <w:rsid w:val="00C4064E"/>
    <w:rsid w:val="00C43AD3"/>
    <w:rsid w:val="00C44D92"/>
    <w:rsid w:val="00C55C8F"/>
    <w:rsid w:val="00C578AD"/>
    <w:rsid w:val="00C71FDC"/>
    <w:rsid w:val="00C77549"/>
    <w:rsid w:val="00C91AF0"/>
    <w:rsid w:val="00C95692"/>
    <w:rsid w:val="00C957A5"/>
    <w:rsid w:val="00C959C6"/>
    <w:rsid w:val="00CB2FAB"/>
    <w:rsid w:val="00CD1F9E"/>
    <w:rsid w:val="00D01736"/>
    <w:rsid w:val="00D04754"/>
    <w:rsid w:val="00D1547E"/>
    <w:rsid w:val="00D37A68"/>
    <w:rsid w:val="00D50BC9"/>
    <w:rsid w:val="00D61CCF"/>
    <w:rsid w:val="00D805F2"/>
    <w:rsid w:val="00D86B4A"/>
    <w:rsid w:val="00D91068"/>
    <w:rsid w:val="00D949A3"/>
    <w:rsid w:val="00DA7390"/>
    <w:rsid w:val="00DB5915"/>
    <w:rsid w:val="00DB6F12"/>
    <w:rsid w:val="00DD67F0"/>
    <w:rsid w:val="00E012E1"/>
    <w:rsid w:val="00E165A3"/>
    <w:rsid w:val="00E23A93"/>
    <w:rsid w:val="00E23E8C"/>
    <w:rsid w:val="00E26E21"/>
    <w:rsid w:val="00E30F11"/>
    <w:rsid w:val="00E37D98"/>
    <w:rsid w:val="00E470B7"/>
    <w:rsid w:val="00E4727B"/>
    <w:rsid w:val="00E71A49"/>
    <w:rsid w:val="00E90A6C"/>
    <w:rsid w:val="00EB34C4"/>
    <w:rsid w:val="00EB4FB5"/>
    <w:rsid w:val="00EB5ABE"/>
    <w:rsid w:val="00EB6852"/>
    <w:rsid w:val="00EC75DA"/>
    <w:rsid w:val="00ED71EE"/>
    <w:rsid w:val="00F033AB"/>
    <w:rsid w:val="00F219CD"/>
    <w:rsid w:val="00F26C48"/>
    <w:rsid w:val="00F30848"/>
    <w:rsid w:val="00F469A0"/>
    <w:rsid w:val="00F54DDF"/>
    <w:rsid w:val="00F6030D"/>
    <w:rsid w:val="00F62838"/>
    <w:rsid w:val="00F636A4"/>
    <w:rsid w:val="00F65C58"/>
    <w:rsid w:val="00F66295"/>
    <w:rsid w:val="00F73EB5"/>
    <w:rsid w:val="00F8228E"/>
    <w:rsid w:val="00F97342"/>
    <w:rsid w:val="00FA6234"/>
    <w:rsid w:val="00FB4CBA"/>
    <w:rsid w:val="00FC160E"/>
    <w:rsid w:val="00FC5B36"/>
    <w:rsid w:val="00FC6783"/>
    <w:rsid w:val="00FD33A4"/>
    <w:rsid w:val="00FD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778AC"/>
  <w15:docId w15:val="{D0B7EFE5-D3E3-41A3-B14E-29276CC8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CED"/>
    <w:pPr>
      <w:spacing w:after="120"/>
    </w:pPr>
    <w:rPr>
      <w:rFonts w:asciiTheme="minorHAnsi" w:hAnsiTheme="minorHAnsi"/>
      <w:sz w:val="22"/>
      <w:szCs w:val="24"/>
    </w:rPr>
  </w:style>
  <w:style w:type="paragraph" w:styleId="Heading1">
    <w:name w:val="heading 1"/>
    <w:basedOn w:val="Normal"/>
    <w:next w:val="Normal"/>
    <w:link w:val="Heading1Char"/>
    <w:qFormat/>
    <w:rsid w:val="00052167"/>
    <w:pPr>
      <w:keepNext/>
      <w:pBdr>
        <w:bottom w:val="thinThickLargeGap" w:sz="24" w:space="3" w:color="auto"/>
      </w:pBdr>
      <w:spacing w:before="240"/>
      <w:outlineLvl w:val="0"/>
    </w:pPr>
    <w:rPr>
      <w:b/>
      <w:sz w:val="30"/>
      <w:szCs w:val="20"/>
    </w:rPr>
  </w:style>
  <w:style w:type="paragraph" w:styleId="Heading2">
    <w:name w:val="heading 2"/>
    <w:basedOn w:val="Normal"/>
    <w:next w:val="Normal"/>
    <w:link w:val="Heading2Char"/>
    <w:qFormat/>
    <w:rsid w:val="00293CED"/>
    <w:pPr>
      <w:keepNext/>
      <w:outlineLvl w:val="1"/>
    </w:pPr>
    <w:rPr>
      <w:rFonts w:ascii="Calibri" w:hAnsi="Calibri" w:cs="Arial"/>
      <w:bCs/>
      <w:i/>
    </w:rPr>
  </w:style>
  <w:style w:type="paragraph" w:styleId="Heading3">
    <w:name w:val="heading 3"/>
    <w:basedOn w:val="E-mailSignature"/>
    <w:next w:val="Normal"/>
    <w:link w:val="Heading3Char"/>
    <w:qFormat/>
    <w:rsid w:val="00B80250"/>
    <w:pPr>
      <w:keepNext/>
      <w:outlineLvl w:val="2"/>
    </w:pPr>
    <w:rPr>
      <w:bCs/>
    </w:rPr>
  </w:style>
  <w:style w:type="paragraph" w:styleId="Heading4">
    <w:name w:val="heading 4"/>
    <w:basedOn w:val="Normal"/>
    <w:next w:val="Normal"/>
    <w:link w:val="Heading4Char"/>
    <w:qFormat/>
    <w:rsid w:val="00833D3E"/>
    <w:pPr>
      <w:keepNext/>
      <w:spacing w:after="0"/>
      <w:ind w:left="288"/>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167"/>
    <w:rPr>
      <w:rFonts w:asciiTheme="minorHAnsi" w:hAnsiTheme="minorHAnsi"/>
      <w:b/>
      <w:sz w:val="30"/>
    </w:rPr>
  </w:style>
  <w:style w:type="character" w:customStyle="1" w:styleId="Heading2Char">
    <w:name w:val="Heading 2 Char"/>
    <w:basedOn w:val="DefaultParagraphFont"/>
    <w:link w:val="Heading2"/>
    <w:rsid w:val="00293CED"/>
    <w:rPr>
      <w:rFonts w:ascii="Calibri" w:hAnsi="Calibri" w:cs="Arial"/>
      <w:bCs/>
      <w:i/>
      <w:sz w:val="22"/>
      <w:szCs w:val="24"/>
    </w:rPr>
  </w:style>
  <w:style w:type="character" w:customStyle="1" w:styleId="Heading3Char">
    <w:name w:val="Heading 3 Char"/>
    <w:basedOn w:val="DefaultParagraphFont"/>
    <w:link w:val="Heading3"/>
    <w:rsid w:val="00B80250"/>
    <w:rPr>
      <w:rFonts w:asciiTheme="minorHAnsi" w:hAnsiTheme="minorHAnsi"/>
      <w:bCs/>
      <w:sz w:val="22"/>
      <w:szCs w:val="24"/>
    </w:rPr>
  </w:style>
  <w:style w:type="character" w:customStyle="1" w:styleId="Heading4Char">
    <w:name w:val="Heading 4 Char"/>
    <w:basedOn w:val="DefaultParagraphFont"/>
    <w:link w:val="Heading4"/>
    <w:rsid w:val="00833D3E"/>
    <w:rPr>
      <w:rFonts w:asciiTheme="minorHAnsi" w:hAnsiTheme="minorHAnsi"/>
      <w:b/>
      <w:bCs/>
      <w:iCs/>
      <w:sz w:val="22"/>
      <w:szCs w:val="24"/>
    </w:rPr>
  </w:style>
  <w:style w:type="paragraph" w:styleId="Title">
    <w:name w:val="Title"/>
    <w:basedOn w:val="Normal"/>
    <w:link w:val="TitleChar"/>
    <w:qFormat/>
    <w:rsid w:val="00383739"/>
    <w:pPr>
      <w:spacing w:before="360" w:after="240"/>
    </w:pPr>
    <w:rPr>
      <w:rFonts w:ascii="Franklin Gothic Book" w:hAnsi="Franklin Gothic Book"/>
      <w:sz w:val="40"/>
    </w:rPr>
  </w:style>
  <w:style w:type="character" w:customStyle="1" w:styleId="TitleChar">
    <w:name w:val="Title Char"/>
    <w:basedOn w:val="DefaultParagraphFont"/>
    <w:link w:val="Title"/>
    <w:rsid w:val="00383739"/>
    <w:rPr>
      <w:rFonts w:ascii="Franklin Gothic Book" w:hAnsi="Franklin Gothic Book"/>
      <w:sz w:val="40"/>
      <w:szCs w:val="24"/>
    </w:rPr>
  </w:style>
  <w:style w:type="paragraph" w:styleId="Header">
    <w:name w:val="header"/>
    <w:basedOn w:val="Normal"/>
    <w:link w:val="HeaderChar"/>
    <w:uiPriority w:val="99"/>
    <w:unhideWhenUsed/>
    <w:rsid w:val="00E23A93"/>
    <w:pPr>
      <w:tabs>
        <w:tab w:val="center" w:pos="4680"/>
        <w:tab w:val="right" w:pos="9360"/>
      </w:tabs>
    </w:pPr>
  </w:style>
  <w:style w:type="character" w:customStyle="1" w:styleId="HeaderChar">
    <w:name w:val="Header Char"/>
    <w:basedOn w:val="DefaultParagraphFont"/>
    <w:link w:val="Header"/>
    <w:uiPriority w:val="99"/>
    <w:rsid w:val="00E23A93"/>
    <w:rPr>
      <w:sz w:val="24"/>
      <w:szCs w:val="24"/>
    </w:rPr>
  </w:style>
  <w:style w:type="paragraph" w:styleId="Footer">
    <w:name w:val="footer"/>
    <w:basedOn w:val="Normal"/>
    <w:link w:val="FooterChar"/>
    <w:uiPriority w:val="99"/>
    <w:unhideWhenUsed/>
    <w:rsid w:val="00E23A93"/>
    <w:pPr>
      <w:tabs>
        <w:tab w:val="center" w:pos="4680"/>
        <w:tab w:val="right" w:pos="9360"/>
      </w:tabs>
    </w:pPr>
  </w:style>
  <w:style w:type="character" w:customStyle="1" w:styleId="FooterChar">
    <w:name w:val="Footer Char"/>
    <w:basedOn w:val="DefaultParagraphFont"/>
    <w:link w:val="Footer"/>
    <w:uiPriority w:val="99"/>
    <w:rsid w:val="00E23A93"/>
    <w:rPr>
      <w:sz w:val="24"/>
      <w:szCs w:val="24"/>
    </w:rPr>
  </w:style>
  <w:style w:type="character" w:styleId="Hyperlink">
    <w:name w:val="Hyperlink"/>
    <w:basedOn w:val="DefaultParagraphFont"/>
    <w:uiPriority w:val="99"/>
    <w:unhideWhenUsed/>
    <w:rsid w:val="00E23A93"/>
    <w:rPr>
      <w:color w:val="0000FF" w:themeColor="hyperlink"/>
      <w:u w:val="single"/>
    </w:rPr>
  </w:style>
  <w:style w:type="paragraph" w:styleId="BalloonText">
    <w:name w:val="Balloon Text"/>
    <w:basedOn w:val="Normal"/>
    <w:link w:val="BalloonTextChar"/>
    <w:uiPriority w:val="99"/>
    <w:semiHidden/>
    <w:unhideWhenUsed/>
    <w:rsid w:val="00E23A93"/>
    <w:rPr>
      <w:rFonts w:ascii="Tahoma" w:hAnsi="Tahoma" w:cs="Tahoma"/>
      <w:sz w:val="16"/>
      <w:szCs w:val="16"/>
    </w:rPr>
  </w:style>
  <w:style w:type="character" w:customStyle="1" w:styleId="BalloonTextChar">
    <w:name w:val="Balloon Text Char"/>
    <w:basedOn w:val="DefaultParagraphFont"/>
    <w:link w:val="BalloonText"/>
    <w:uiPriority w:val="99"/>
    <w:semiHidden/>
    <w:rsid w:val="00E23A93"/>
    <w:rPr>
      <w:rFonts w:ascii="Tahoma" w:hAnsi="Tahoma" w:cs="Tahoma"/>
      <w:sz w:val="16"/>
      <w:szCs w:val="16"/>
    </w:rPr>
  </w:style>
  <w:style w:type="character" w:styleId="FollowedHyperlink">
    <w:name w:val="FollowedHyperlink"/>
    <w:basedOn w:val="DefaultParagraphFont"/>
    <w:uiPriority w:val="99"/>
    <w:semiHidden/>
    <w:unhideWhenUsed/>
    <w:rsid w:val="009B406D"/>
    <w:rPr>
      <w:color w:val="800080" w:themeColor="followedHyperlink"/>
      <w:u w:val="single"/>
    </w:rPr>
  </w:style>
  <w:style w:type="table" w:styleId="TableGrid">
    <w:name w:val="Table Grid"/>
    <w:basedOn w:val="TableNormal"/>
    <w:uiPriority w:val="59"/>
    <w:rsid w:val="00117B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B4F"/>
    <w:pPr>
      <w:ind w:left="720"/>
      <w:contextualSpacing/>
    </w:pPr>
  </w:style>
  <w:style w:type="character" w:styleId="Emphasis">
    <w:name w:val="Emphasis"/>
    <w:basedOn w:val="DefaultParagraphFont"/>
    <w:qFormat/>
    <w:rsid w:val="00833D3E"/>
    <w:rPr>
      <w:b/>
      <w:i/>
      <w:iCs/>
    </w:rPr>
  </w:style>
  <w:style w:type="paragraph" w:styleId="E-mailSignature">
    <w:name w:val="E-mail Signature"/>
    <w:basedOn w:val="Normal"/>
    <w:link w:val="E-mailSignatureChar"/>
    <w:uiPriority w:val="99"/>
    <w:semiHidden/>
    <w:unhideWhenUsed/>
    <w:rsid w:val="002603D7"/>
  </w:style>
  <w:style w:type="character" w:customStyle="1" w:styleId="E-mailSignatureChar">
    <w:name w:val="E-mail Signature Char"/>
    <w:basedOn w:val="DefaultParagraphFont"/>
    <w:link w:val="E-mailSignature"/>
    <w:uiPriority w:val="99"/>
    <w:semiHidden/>
    <w:rsid w:val="002603D7"/>
    <w:rPr>
      <w:rFonts w:asciiTheme="minorHAnsi" w:hAnsiTheme="minorHAnsi"/>
      <w:sz w:val="24"/>
      <w:szCs w:val="24"/>
    </w:rPr>
  </w:style>
  <w:style w:type="paragraph" w:styleId="Subtitle">
    <w:name w:val="Subtitle"/>
    <w:basedOn w:val="Normal"/>
    <w:next w:val="Normal"/>
    <w:link w:val="SubtitleChar"/>
    <w:qFormat/>
    <w:rsid w:val="007A7AC2"/>
    <w:pPr>
      <w:numPr>
        <w:ilvl w:val="1"/>
      </w:numPr>
      <w:spacing w:before="240" w:after="160"/>
    </w:pPr>
    <w:rPr>
      <w:rFonts w:ascii="Franklin Gothic Book" w:eastAsiaTheme="minorEastAsia" w:hAnsi="Franklin Gothic Book" w:cstheme="minorBidi"/>
      <w:b/>
      <w:spacing w:val="15"/>
      <w:sz w:val="36"/>
      <w:szCs w:val="22"/>
    </w:rPr>
  </w:style>
  <w:style w:type="character" w:customStyle="1" w:styleId="SubtitleChar">
    <w:name w:val="Subtitle Char"/>
    <w:basedOn w:val="DefaultParagraphFont"/>
    <w:link w:val="Subtitle"/>
    <w:rsid w:val="007A7AC2"/>
    <w:rPr>
      <w:rFonts w:ascii="Franklin Gothic Book" w:eastAsiaTheme="minorEastAsia" w:hAnsi="Franklin Gothic Book" w:cstheme="minorBidi"/>
      <w:b/>
      <w:spacing w:val="15"/>
      <w:sz w:val="36"/>
      <w:szCs w:val="22"/>
    </w:rPr>
  </w:style>
  <w:style w:type="paragraph" w:customStyle="1" w:styleId="Content">
    <w:name w:val="Content"/>
    <w:link w:val="ContentChar"/>
    <w:qFormat/>
    <w:rsid w:val="00833D3E"/>
    <w:pPr>
      <w:spacing w:after="120"/>
      <w:ind w:left="288"/>
    </w:pPr>
    <w:rPr>
      <w:rFonts w:asciiTheme="minorHAnsi" w:hAnsiTheme="minorHAnsi"/>
      <w:sz w:val="22"/>
      <w:szCs w:val="24"/>
    </w:rPr>
  </w:style>
  <w:style w:type="character" w:customStyle="1" w:styleId="ContentChar">
    <w:name w:val="Content Char"/>
    <w:basedOn w:val="DefaultParagraphFont"/>
    <w:link w:val="Content"/>
    <w:rsid w:val="00833D3E"/>
    <w:rPr>
      <w:rFonts w:asciiTheme="minorHAnsi" w:hAnsiTheme="minorHAnsi"/>
      <w:sz w:val="22"/>
      <w:szCs w:val="24"/>
    </w:rPr>
  </w:style>
  <w:style w:type="character" w:customStyle="1" w:styleId="zzmpTrailerItem">
    <w:name w:val="zzmpTrailerItem"/>
    <w:rsid w:val="00C77549"/>
    <w:rPr>
      <w:rFonts w:ascii="Calibri" w:hAnsi="Calibri"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E4727B"/>
    <w:rPr>
      <w:sz w:val="16"/>
      <w:szCs w:val="16"/>
    </w:rPr>
  </w:style>
  <w:style w:type="paragraph" w:styleId="CommentText">
    <w:name w:val="annotation text"/>
    <w:basedOn w:val="Normal"/>
    <w:link w:val="CommentTextChar"/>
    <w:uiPriority w:val="99"/>
    <w:semiHidden/>
    <w:unhideWhenUsed/>
    <w:rsid w:val="00E4727B"/>
    <w:rPr>
      <w:sz w:val="20"/>
      <w:szCs w:val="20"/>
    </w:rPr>
  </w:style>
  <w:style w:type="character" w:customStyle="1" w:styleId="CommentTextChar">
    <w:name w:val="Comment Text Char"/>
    <w:basedOn w:val="DefaultParagraphFont"/>
    <w:link w:val="CommentText"/>
    <w:uiPriority w:val="99"/>
    <w:semiHidden/>
    <w:rsid w:val="00E4727B"/>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4727B"/>
    <w:rPr>
      <w:b/>
      <w:bCs/>
    </w:rPr>
  </w:style>
  <w:style w:type="character" w:customStyle="1" w:styleId="CommentSubjectChar">
    <w:name w:val="Comment Subject Char"/>
    <w:basedOn w:val="CommentTextChar"/>
    <w:link w:val="CommentSubject"/>
    <w:uiPriority w:val="99"/>
    <w:semiHidden/>
    <w:rsid w:val="00E4727B"/>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03767">
      <w:bodyDiv w:val="1"/>
      <w:marLeft w:val="0"/>
      <w:marRight w:val="0"/>
      <w:marTop w:val="0"/>
      <w:marBottom w:val="0"/>
      <w:divBdr>
        <w:top w:val="none" w:sz="0" w:space="0" w:color="auto"/>
        <w:left w:val="none" w:sz="0" w:space="0" w:color="auto"/>
        <w:bottom w:val="none" w:sz="0" w:space="0" w:color="auto"/>
        <w:right w:val="none" w:sz="0" w:space="0" w:color="auto"/>
      </w:divBdr>
      <w:divsChild>
        <w:div w:id="961418082">
          <w:marLeft w:val="547"/>
          <w:marRight w:val="0"/>
          <w:marTop w:val="0"/>
          <w:marBottom w:val="0"/>
          <w:divBdr>
            <w:top w:val="none" w:sz="0" w:space="0" w:color="auto"/>
            <w:left w:val="none" w:sz="0" w:space="0" w:color="auto"/>
            <w:bottom w:val="none" w:sz="0" w:space="0" w:color="auto"/>
            <w:right w:val="none" w:sz="0" w:space="0" w:color="auto"/>
          </w:divBdr>
        </w:div>
        <w:div w:id="1947541703">
          <w:marLeft w:val="547"/>
          <w:marRight w:val="0"/>
          <w:marTop w:val="0"/>
          <w:marBottom w:val="0"/>
          <w:divBdr>
            <w:top w:val="none" w:sz="0" w:space="0" w:color="auto"/>
            <w:left w:val="none" w:sz="0" w:space="0" w:color="auto"/>
            <w:bottom w:val="none" w:sz="0" w:space="0" w:color="auto"/>
            <w:right w:val="none" w:sz="0" w:space="0" w:color="auto"/>
          </w:divBdr>
        </w:div>
        <w:div w:id="672297962">
          <w:marLeft w:val="547"/>
          <w:marRight w:val="0"/>
          <w:marTop w:val="0"/>
          <w:marBottom w:val="0"/>
          <w:divBdr>
            <w:top w:val="none" w:sz="0" w:space="0" w:color="auto"/>
            <w:left w:val="none" w:sz="0" w:space="0" w:color="auto"/>
            <w:bottom w:val="none" w:sz="0" w:space="0" w:color="auto"/>
            <w:right w:val="none" w:sz="0" w:space="0" w:color="auto"/>
          </w:divBdr>
        </w:div>
      </w:divsChild>
    </w:div>
    <w:div w:id="405110124">
      <w:bodyDiv w:val="1"/>
      <w:marLeft w:val="0"/>
      <w:marRight w:val="0"/>
      <w:marTop w:val="0"/>
      <w:marBottom w:val="0"/>
      <w:divBdr>
        <w:top w:val="none" w:sz="0" w:space="0" w:color="auto"/>
        <w:left w:val="none" w:sz="0" w:space="0" w:color="auto"/>
        <w:bottom w:val="none" w:sz="0" w:space="0" w:color="auto"/>
        <w:right w:val="none" w:sz="0" w:space="0" w:color="auto"/>
      </w:divBdr>
    </w:div>
    <w:div w:id="545918285">
      <w:bodyDiv w:val="1"/>
      <w:marLeft w:val="0"/>
      <w:marRight w:val="0"/>
      <w:marTop w:val="0"/>
      <w:marBottom w:val="0"/>
      <w:divBdr>
        <w:top w:val="none" w:sz="0" w:space="0" w:color="auto"/>
        <w:left w:val="none" w:sz="0" w:space="0" w:color="auto"/>
        <w:bottom w:val="none" w:sz="0" w:space="0" w:color="auto"/>
        <w:right w:val="none" w:sz="0" w:space="0" w:color="auto"/>
      </w:divBdr>
    </w:div>
    <w:div w:id="680931904">
      <w:bodyDiv w:val="1"/>
      <w:marLeft w:val="0"/>
      <w:marRight w:val="0"/>
      <w:marTop w:val="0"/>
      <w:marBottom w:val="0"/>
      <w:divBdr>
        <w:top w:val="none" w:sz="0" w:space="0" w:color="auto"/>
        <w:left w:val="none" w:sz="0" w:space="0" w:color="auto"/>
        <w:bottom w:val="none" w:sz="0" w:space="0" w:color="auto"/>
        <w:right w:val="none" w:sz="0" w:space="0" w:color="auto"/>
      </w:divBdr>
    </w:div>
    <w:div w:id="687096925">
      <w:bodyDiv w:val="1"/>
      <w:marLeft w:val="0"/>
      <w:marRight w:val="0"/>
      <w:marTop w:val="0"/>
      <w:marBottom w:val="0"/>
      <w:divBdr>
        <w:top w:val="none" w:sz="0" w:space="0" w:color="auto"/>
        <w:left w:val="none" w:sz="0" w:space="0" w:color="auto"/>
        <w:bottom w:val="none" w:sz="0" w:space="0" w:color="auto"/>
        <w:right w:val="none" w:sz="0" w:space="0" w:color="auto"/>
      </w:divBdr>
    </w:div>
    <w:div w:id="814182229">
      <w:bodyDiv w:val="1"/>
      <w:marLeft w:val="0"/>
      <w:marRight w:val="0"/>
      <w:marTop w:val="0"/>
      <w:marBottom w:val="0"/>
      <w:divBdr>
        <w:top w:val="none" w:sz="0" w:space="0" w:color="auto"/>
        <w:left w:val="none" w:sz="0" w:space="0" w:color="auto"/>
        <w:bottom w:val="none" w:sz="0" w:space="0" w:color="auto"/>
        <w:right w:val="none" w:sz="0" w:space="0" w:color="auto"/>
      </w:divBdr>
    </w:div>
    <w:div w:id="1126966702">
      <w:bodyDiv w:val="1"/>
      <w:marLeft w:val="0"/>
      <w:marRight w:val="0"/>
      <w:marTop w:val="0"/>
      <w:marBottom w:val="0"/>
      <w:divBdr>
        <w:top w:val="none" w:sz="0" w:space="0" w:color="auto"/>
        <w:left w:val="none" w:sz="0" w:space="0" w:color="auto"/>
        <w:bottom w:val="none" w:sz="0" w:space="0" w:color="auto"/>
        <w:right w:val="none" w:sz="0" w:space="0" w:color="auto"/>
      </w:divBdr>
    </w:div>
    <w:div w:id="1144617203">
      <w:bodyDiv w:val="1"/>
      <w:marLeft w:val="0"/>
      <w:marRight w:val="0"/>
      <w:marTop w:val="0"/>
      <w:marBottom w:val="0"/>
      <w:divBdr>
        <w:top w:val="none" w:sz="0" w:space="0" w:color="auto"/>
        <w:left w:val="none" w:sz="0" w:space="0" w:color="auto"/>
        <w:bottom w:val="none" w:sz="0" w:space="0" w:color="auto"/>
        <w:right w:val="none" w:sz="0" w:space="0" w:color="auto"/>
      </w:divBdr>
    </w:div>
    <w:div w:id="1244680462">
      <w:bodyDiv w:val="1"/>
      <w:marLeft w:val="0"/>
      <w:marRight w:val="0"/>
      <w:marTop w:val="0"/>
      <w:marBottom w:val="0"/>
      <w:divBdr>
        <w:top w:val="none" w:sz="0" w:space="0" w:color="auto"/>
        <w:left w:val="none" w:sz="0" w:space="0" w:color="auto"/>
        <w:bottom w:val="none" w:sz="0" w:space="0" w:color="auto"/>
        <w:right w:val="none" w:sz="0" w:space="0" w:color="auto"/>
      </w:divBdr>
    </w:div>
    <w:div w:id="1720008722">
      <w:bodyDiv w:val="1"/>
      <w:marLeft w:val="0"/>
      <w:marRight w:val="0"/>
      <w:marTop w:val="0"/>
      <w:marBottom w:val="0"/>
      <w:divBdr>
        <w:top w:val="none" w:sz="0" w:space="0" w:color="auto"/>
        <w:left w:val="none" w:sz="0" w:space="0" w:color="auto"/>
        <w:bottom w:val="none" w:sz="0" w:space="0" w:color="auto"/>
        <w:right w:val="none" w:sz="0" w:space="0" w:color="auto"/>
      </w:divBdr>
    </w:div>
    <w:div w:id="17998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10/9/2013 7:52:38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10/9/2013 7:52:38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10/9/2013 7:52:38 PM</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38543447213EB4BA444317A17C5FC0E" ma:contentTypeVersion="1" ma:contentTypeDescription="Create a new document." ma:contentTypeScope="" ma:versionID="43e13fee27a1a9af8bb4b65c49b9027c">
  <xsd:schema xmlns:xsd="http://www.w3.org/2001/XMLSchema" xmlns:xs="http://www.w3.org/2001/XMLSchema" xmlns:p="http://schemas.microsoft.com/office/2006/metadata/properties" xmlns:ns2="f2dd71cc-4bfb-41e3-be0f-613a07434cdc" targetNamespace="http://schemas.microsoft.com/office/2006/metadata/properties" ma:root="true" ma:fieldsID="e7ef4931bfb4971ebe44e4209068a3a0" ns2:_="">
    <xsd:import namespace="f2dd71cc-4bfb-41e3-be0f-613a07434cdc"/>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d71cc-4bfb-41e3-be0f-613a07434cdc"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BRS"/>
          <xsd:enumeration value="Call Center Documents"/>
          <xsd:enumeration value="Changes in Circumstance"/>
          <xsd:enumeration value="County Newsletter"/>
          <xsd:enumeration value="Employee Updates"/>
          <xsd:enumeration value="Financing Task Force"/>
          <xsd:enumeration value="Forms"/>
          <xsd:enumeration value="HCA Organizational docs"/>
          <xsd:enumeration value="Health Care Reform"/>
          <xsd:enumeration value="Health Plan Open Enrollment"/>
          <xsd:enumeration value="HPE"/>
          <xsd:enumeration value="MA-EPD"/>
          <xsd:enumeration value="Member Help Desk Resources"/>
          <xsd:enumeration value="Member Legislative Notice"/>
          <xsd:enumeration value="Member Web Pages"/>
          <xsd:enumeration value="Mental health"/>
          <xsd:enumeration value="MFPP 2015 Project"/>
          <xsd:enumeration value="MinnesotaCare Premiums"/>
          <xsd:enumeration value="MinnesotaCare Tax HH Workaround"/>
          <xsd:enumeration value="MNsure Implementation Plan (Oct28)+Related"/>
          <xsd:enumeration value="New Eligibility System"/>
          <xsd:enumeration value="Notices Project"/>
          <xsd:enumeration value="Other"/>
          <xsd:enumeration value="Paper application"/>
          <xsd:enumeration value="Pending Applications"/>
          <xsd:enumeration value="PIX Meetings"/>
          <xsd:enumeration value="Provider Application&amp;Enrollment"/>
          <xsd:enumeration value="Providers"/>
          <xsd:enumeration value="Renewals"/>
          <xsd:enumeration value="Research"/>
          <xsd:enumeration value="Reset"/>
          <xsd:enumeration value="Retro MA"/>
          <xsd:enumeration value="Special Needs BasicCare"/>
          <xsd:enumeration value="Special Needs Purchasing"/>
          <xsd:enumeration value="Tridion Migration"/>
          <xsd:enumeration value="Web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f2dd71cc-4bfb-41e3-be0f-613a07434cdc">Financing Task Force</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12D7A-538B-4898-B6E8-5462560D6469}">
  <ds:schemaRefs>
    <ds:schemaRef ds:uri="http://schemas.microsoft.com/sharepoint/events"/>
  </ds:schemaRefs>
</ds:datastoreItem>
</file>

<file path=customXml/itemProps2.xml><?xml version="1.0" encoding="utf-8"?>
<ds:datastoreItem xmlns:ds="http://schemas.openxmlformats.org/officeDocument/2006/customXml" ds:itemID="{5F3DA0AA-2290-4095-A12C-8221D5385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d71cc-4bfb-41e3-be0f-613a07434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97C211-66B3-47AD-81FF-30E70331350A}">
  <ds:schemaRefs>
    <ds:schemaRef ds:uri="http://schemas.microsoft.com/office/2006/metadata/properties"/>
    <ds:schemaRef ds:uri="http://schemas.microsoft.com/office/infopath/2007/PartnerControls"/>
    <ds:schemaRef ds:uri="f2dd71cc-4bfb-41e3-be0f-613a07434cdc"/>
  </ds:schemaRefs>
</ds:datastoreItem>
</file>

<file path=customXml/itemProps4.xml><?xml version="1.0" encoding="utf-8"?>
<ds:datastoreItem xmlns:ds="http://schemas.openxmlformats.org/officeDocument/2006/customXml" ds:itemID="{DE7AC03D-5E57-4106-8160-7AE9FCAB92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Joint Session Barriers and Seamlessness 10 9 15 - Key Takeaways</vt:lpstr>
    </vt:vector>
  </TitlesOfParts>
  <Company>Minnesota Department of Health</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Session Barriers and Seamlessness 10 9 15 - Key Takeaways</dc:title>
  <dc:creator>Oconnor, Krista</dc:creator>
  <cp:lastModifiedBy>Schreier, Sandy</cp:lastModifiedBy>
  <cp:revision>4</cp:revision>
  <cp:lastPrinted>2013-11-15T17:36:00Z</cp:lastPrinted>
  <dcterms:created xsi:type="dcterms:W3CDTF">2015-10-21T12:11:00Z</dcterms:created>
  <dcterms:modified xsi:type="dcterms:W3CDTF">2015-10-21T12:21:00Z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0x010100A38543447213EB4BA444317A17C5FC0E</vt:lpwstr>
  </property>
</Properties>
</file>