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B10F" w14:textId="77777777" w:rsidR="00383739" w:rsidRDefault="00383739" w:rsidP="004E2354">
      <w:pPr>
        <w:pStyle w:val="Title"/>
        <w:spacing w:before="0" w:after="0"/>
        <w:rPr>
          <w:rFonts w:asciiTheme="minorHAnsi" w:hAnsiTheme="minorHAnsi"/>
        </w:rPr>
      </w:pPr>
      <w:r w:rsidRPr="0034405D">
        <w:rPr>
          <w:rFonts w:asciiTheme="minorHAnsi" w:hAnsiTheme="minorHAnsi"/>
        </w:rPr>
        <w:t>Health Care Financing Task Force</w:t>
      </w:r>
    </w:p>
    <w:p w14:paraId="0157B110" w14:textId="77777777" w:rsidR="006D3AAC" w:rsidRDefault="006D3AAC" w:rsidP="00936B3A">
      <w:pPr>
        <w:rPr>
          <w:szCs w:val="22"/>
        </w:rPr>
      </w:pPr>
    </w:p>
    <w:p w14:paraId="0157B111"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0157B112" w14:textId="77777777" w:rsidR="00936B3A" w:rsidRPr="00675727" w:rsidRDefault="00936B3A" w:rsidP="00936B3A">
      <w:pPr>
        <w:rPr>
          <w:szCs w:val="22"/>
        </w:rPr>
      </w:pPr>
      <w:r w:rsidRPr="00675727">
        <w:rPr>
          <w:szCs w:val="22"/>
        </w:rPr>
        <w:t>Friday, October 2, 2015; 8:30 a.m. – 11:00 a.m.</w:t>
      </w:r>
    </w:p>
    <w:p w14:paraId="0157B113" w14:textId="77777777" w:rsidR="00936B3A" w:rsidRDefault="00936B3A" w:rsidP="00936B3A">
      <w:pPr>
        <w:rPr>
          <w:szCs w:val="22"/>
        </w:rPr>
      </w:pPr>
      <w:r w:rsidRPr="00675727">
        <w:rPr>
          <w:szCs w:val="22"/>
        </w:rPr>
        <w:t xml:space="preserve">Minnesota State Office Building, Room </w:t>
      </w:r>
      <w:r w:rsidR="002625B3">
        <w:rPr>
          <w:szCs w:val="22"/>
        </w:rPr>
        <w:t>200</w:t>
      </w:r>
    </w:p>
    <w:p w14:paraId="0157B114"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0157B118" w14:textId="77777777" w:rsidTr="00C44D92">
        <w:trPr>
          <w:tblHeader/>
        </w:trPr>
        <w:tc>
          <w:tcPr>
            <w:tcW w:w="3235" w:type="dxa"/>
          </w:tcPr>
          <w:p w14:paraId="0157B115" w14:textId="77777777" w:rsidR="00C44D92" w:rsidRPr="00383739" w:rsidRDefault="00C44D92" w:rsidP="00383739">
            <w:pPr>
              <w:pStyle w:val="Heading2"/>
              <w:outlineLvl w:val="1"/>
              <w:rPr>
                <w:b/>
              </w:rPr>
            </w:pPr>
            <w:r w:rsidRPr="00383739">
              <w:rPr>
                <w:b/>
              </w:rPr>
              <w:t>Item</w:t>
            </w:r>
          </w:p>
        </w:tc>
        <w:tc>
          <w:tcPr>
            <w:tcW w:w="1710" w:type="dxa"/>
          </w:tcPr>
          <w:p w14:paraId="0157B116" w14:textId="77777777" w:rsidR="00C44D92" w:rsidRPr="00383739" w:rsidRDefault="00C44D92" w:rsidP="00383739">
            <w:pPr>
              <w:pStyle w:val="Heading2"/>
              <w:outlineLvl w:val="1"/>
              <w:rPr>
                <w:b/>
              </w:rPr>
            </w:pPr>
            <w:r w:rsidRPr="00383739">
              <w:rPr>
                <w:b/>
              </w:rPr>
              <w:t>Presenter</w:t>
            </w:r>
          </w:p>
        </w:tc>
        <w:tc>
          <w:tcPr>
            <w:tcW w:w="5845" w:type="dxa"/>
          </w:tcPr>
          <w:p w14:paraId="0157B117" w14:textId="77777777" w:rsidR="00C44D92" w:rsidRPr="00383739" w:rsidRDefault="00C44D92" w:rsidP="00C44D92">
            <w:pPr>
              <w:pStyle w:val="Heading2"/>
              <w:outlineLvl w:val="1"/>
              <w:rPr>
                <w:b/>
              </w:rPr>
            </w:pPr>
            <w:r>
              <w:rPr>
                <w:b/>
              </w:rPr>
              <w:t xml:space="preserve">Discussion /Resolution </w:t>
            </w:r>
          </w:p>
        </w:tc>
      </w:tr>
      <w:tr w:rsidR="005E3DE6" w14:paraId="0157B11C" w14:textId="77777777" w:rsidTr="00C44D92">
        <w:tc>
          <w:tcPr>
            <w:tcW w:w="3235" w:type="dxa"/>
          </w:tcPr>
          <w:p w14:paraId="0157B119" w14:textId="77777777" w:rsidR="005E3DE6" w:rsidRPr="001B3332" w:rsidRDefault="002625B3" w:rsidP="001B15A4">
            <w:pPr>
              <w:rPr>
                <w:b/>
                <w:szCs w:val="22"/>
              </w:rPr>
            </w:pPr>
            <w:r>
              <w:rPr>
                <w:b/>
                <w:szCs w:val="22"/>
              </w:rPr>
              <w:t>Introductions</w:t>
            </w:r>
          </w:p>
        </w:tc>
        <w:tc>
          <w:tcPr>
            <w:tcW w:w="1710" w:type="dxa"/>
          </w:tcPr>
          <w:p w14:paraId="0157B11A" w14:textId="77777777" w:rsidR="005E3DE6" w:rsidRDefault="008E6733" w:rsidP="001B15A4">
            <w:r>
              <w:t xml:space="preserve">Marilyn </w:t>
            </w:r>
            <w:proofErr w:type="spellStart"/>
            <w:r>
              <w:t>Pietso</w:t>
            </w:r>
            <w:proofErr w:type="spellEnd"/>
            <w:r>
              <w:t>, MD</w:t>
            </w:r>
          </w:p>
        </w:tc>
        <w:tc>
          <w:tcPr>
            <w:tcW w:w="5845" w:type="dxa"/>
          </w:tcPr>
          <w:p w14:paraId="0157B11B" w14:textId="77777777" w:rsidR="005E3DE6" w:rsidRDefault="00ED0D5E" w:rsidP="00357DFC">
            <w:pPr>
              <w:pStyle w:val="ListParagraph"/>
              <w:numPr>
                <w:ilvl w:val="0"/>
                <w:numId w:val="12"/>
              </w:numPr>
              <w:spacing w:after="0"/>
              <w:rPr>
                <w:szCs w:val="22"/>
              </w:rPr>
            </w:pPr>
            <w:r>
              <w:rPr>
                <w:szCs w:val="22"/>
              </w:rPr>
              <w:t xml:space="preserve">The Barriers to Access Workgroup lead opened the meeting. </w:t>
            </w:r>
          </w:p>
        </w:tc>
      </w:tr>
      <w:tr w:rsidR="00C44D92" w14:paraId="0157B123" w14:textId="77777777" w:rsidTr="00C44D92">
        <w:tc>
          <w:tcPr>
            <w:tcW w:w="3235" w:type="dxa"/>
          </w:tcPr>
          <w:p w14:paraId="0157B11D" w14:textId="77777777" w:rsidR="00C44D92" w:rsidRPr="00936B3A" w:rsidRDefault="00A1336C" w:rsidP="00A1336C">
            <w:pPr>
              <w:rPr>
                <w:b/>
                <w:szCs w:val="22"/>
              </w:rPr>
            </w:pPr>
            <w:r>
              <w:rPr>
                <w:b/>
                <w:szCs w:val="22"/>
              </w:rPr>
              <w:t xml:space="preserve">Barriers to Access Workgroup </w:t>
            </w:r>
            <w:proofErr w:type="spellStart"/>
            <w:r>
              <w:rPr>
                <w:b/>
                <w:szCs w:val="22"/>
              </w:rPr>
              <w:t>Workplan</w:t>
            </w:r>
            <w:proofErr w:type="spellEnd"/>
          </w:p>
        </w:tc>
        <w:tc>
          <w:tcPr>
            <w:tcW w:w="1710" w:type="dxa"/>
          </w:tcPr>
          <w:p w14:paraId="0157B11E" w14:textId="77777777" w:rsidR="00C44D92" w:rsidRDefault="00936B3A" w:rsidP="001B15A4">
            <w:proofErr w:type="spellStart"/>
            <w:r>
              <w:t>Manatt</w:t>
            </w:r>
            <w:proofErr w:type="spellEnd"/>
          </w:p>
        </w:tc>
        <w:tc>
          <w:tcPr>
            <w:tcW w:w="5845" w:type="dxa"/>
          </w:tcPr>
          <w:p w14:paraId="0157B11F" w14:textId="77777777" w:rsidR="00ED0D5E" w:rsidRDefault="008E6733" w:rsidP="007B6BB5">
            <w:pPr>
              <w:pStyle w:val="ListParagraph"/>
              <w:numPr>
                <w:ilvl w:val="0"/>
                <w:numId w:val="12"/>
              </w:numPr>
              <w:spacing w:after="0"/>
              <w:rPr>
                <w:szCs w:val="22"/>
              </w:rPr>
            </w:pPr>
            <w:r>
              <w:rPr>
                <w:i/>
                <w:szCs w:val="22"/>
              </w:rPr>
              <w:t xml:space="preserve">See </w:t>
            </w:r>
            <w:proofErr w:type="spellStart"/>
            <w:r>
              <w:rPr>
                <w:i/>
                <w:szCs w:val="22"/>
              </w:rPr>
              <w:t>Manatt</w:t>
            </w:r>
            <w:proofErr w:type="spellEnd"/>
            <w:r>
              <w:rPr>
                <w:i/>
                <w:szCs w:val="22"/>
              </w:rPr>
              <w:t xml:space="preserve"> presentation</w:t>
            </w:r>
            <w:r w:rsidR="00ED0D5E" w:rsidRPr="007B6BB5">
              <w:rPr>
                <w:szCs w:val="22"/>
              </w:rPr>
              <w:t xml:space="preserve"> </w:t>
            </w:r>
          </w:p>
          <w:p w14:paraId="0157B120" w14:textId="77777777" w:rsidR="007B6BB5" w:rsidRDefault="007B6BB5" w:rsidP="007B6BB5">
            <w:pPr>
              <w:pStyle w:val="ListParagraph"/>
              <w:numPr>
                <w:ilvl w:val="0"/>
                <w:numId w:val="12"/>
              </w:numPr>
              <w:spacing w:after="0"/>
              <w:rPr>
                <w:szCs w:val="22"/>
              </w:rPr>
            </w:pPr>
            <w:r>
              <w:rPr>
                <w:szCs w:val="22"/>
              </w:rPr>
              <w:t xml:space="preserve">Patricia </w:t>
            </w:r>
            <w:proofErr w:type="spellStart"/>
            <w:r>
              <w:rPr>
                <w:szCs w:val="22"/>
              </w:rPr>
              <w:t>Boozang</w:t>
            </w:r>
            <w:proofErr w:type="spellEnd"/>
            <w:r>
              <w:rPr>
                <w:szCs w:val="22"/>
              </w:rPr>
              <w:t xml:space="preserve"> of </w:t>
            </w:r>
            <w:proofErr w:type="spellStart"/>
            <w:r>
              <w:rPr>
                <w:szCs w:val="22"/>
              </w:rPr>
              <w:t>Manatt</w:t>
            </w:r>
            <w:proofErr w:type="spellEnd"/>
            <w:r>
              <w:rPr>
                <w:szCs w:val="22"/>
              </w:rPr>
              <w:t xml:space="preserve"> presented on the </w:t>
            </w:r>
            <w:proofErr w:type="spellStart"/>
            <w:r>
              <w:rPr>
                <w:szCs w:val="22"/>
              </w:rPr>
              <w:t>workplan</w:t>
            </w:r>
            <w:proofErr w:type="spellEnd"/>
            <w:r>
              <w:rPr>
                <w:szCs w:val="22"/>
              </w:rPr>
              <w:t xml:space="preserve"> for the barriers to access workgroup including key meeting dates and upcoming topics. </w:t>
            </w:r>
          </w:p>
          <w:p w14:paraId="0157B121" w14:textId="77777777" w:rsidR="003B5237" w:rsidRDefault="003B5237" w:rsidP="003B5237">
            <w:pPr>
              <w:pStyle w:val="ListParagraph"/>
              <w:numPr>
                <w:ilvl w:val="0"/>
                <w:numId w:val="12"/>
              </w:numPr>
              <w:spacing w:after="0"/>
              <w:rPr>
                <w:szCs w:val="22"/>
              </w:rPr>
            </w:pPr>
            <w:r>
              <w:rPr>
                <w:szCs w:val="22"/>
              </w:rPr>
              <w:t xml:space="preserve">Workgroup members </w:t>
            </w:r>
            <w:r w:rsidR="00332AD7">
              <w:rPr>
                <w:szCs w:val="22"/>
              </w:rPr>
              <w:t>expressed</w:t>
            </w:r>
            <w:r>
              <w:rPr>
                <w:szCs w:val="22"/>
              </w:rPr>
              <w:t xml:space="preserve"> concern </w:t>
            </w:r>
            <w:r w:rsidR="00332AD7">
              <w:rPr>
                <w:szCs w:val="22"/>
              </w:rPr>
              <w:t>regarding the ability for members of the public to comment if the meetings are conducting by webinar. The member</w:t>
            </w:r>
            <w:r>
              <w:rPr>
                <w:szCs w:val="22"/>
              </w:rPr>
              <w:t xml:space="preserve"> suggested that the webinar be set up in a place where the public can access it. </w:t>
            </w:r>
          </w:p>
          <w:p w14:paraId="0157B122" w14:textId="77777777" w:rsidR="002D4925" w:rsidRPr="007B6BB5" w:rsidRDefault="001115D0" w:rsidP="00A376A7">
            <w:pPr>
              <w:pStyle w:val="ListParagraph"/>
              <w:numPr>
                <w:ilvl w:val="0"/>
                <w:numId w:val="12"/>
              </w:numPr>
              <w:spacing w:after="0"/>
              <w:rPr>
                <w:szCs w:val="22"/>
              </w:rPr>
            </w:pPr>
            <w:r>
              <w:rPr>
                <w:szCs w:val="22"/>
              </w:rPr>
              <w:t xml:space="preserve">Dr. </w:t>
            </w:r>
            <w:proofErr w:type="spellStart"/>
            <w:r>
              <w:rPr>
                <w:szCs w:val="22"/>
              </w:rPr>
              <w:t>Pietso</w:t>
            </w:r>
            <w:proofErr w:type="spellEnd"/>
            <w:r>
              <w:rPr>
                <w:szCs w:val="22"/>
              </w:rPr>
              <w:t xml:space="preserve"> reminded the workgroup that the timeframe is short and </w:t>
            </w:r>
            <w:r w:rsidR="00332AD7">
              <w:rPr>
                <w:szCs w:val="22"/>
              </w:rPr>
              <w:t xml:space="preserve">recommendations which can be analyzed in the limited window available should be prioritized. </w:t>
            </w:r>
            <w:r w:rsidR="00A376A7">
              <w:rPr>
                <w:szCs w:val="22"/>
              </w:rPr>
              <w:t xml:space="preserve">The workgroup agreed that focusing on a limited number of recommendations will be important for reaching consensus on recommendations and using the resources available for modeling most efficiently. </w:t>
            </w:r>
          </w:p>
        </w:tc>
      </w:tr>
      <w:tr w:rsidR="00A1336C" w14:paraId="0157B127" w14:textId="77777777" w:rsidTr="00C44D92">
        <w:tc>
          <w:tcPr>
            <w:tcW w:w="3235" w:type="dxa"/>
          </w:tcPr>
          <w:p w14:paraId="0157B124" w14:textId="77777777" w:rsidR="00A1336C" w:rsidRPr="002625B3" w:rsidRDefault="00A1336C" w:rsidP="001B15A4">
            <w:pPr>
              <w:rPr>
                <w:b/>
                <w:szCs w:val="22"/>
              </w:rPr>
            </w:pPr>
            <w:r>
              <w:rPr>
                <w:b/>
                <w:szCs w:val="22"/>
              </w:rPr>
              <w:t>What are Structural Barriers</w:t>
            </w:r>
          </w:p>
        </w:tc>
        <w:tc>
          <w:tcPr>
            <w:tcW w:w="1710" w:type="dxa"/>
          </w:tcPr>
          <w:p w14:paraId="0157B125" w14:textId="77777777" w:rsidR="00A1336C" w:rsidRDefault="00332AD7" w:rsidP="001B15A4">
            <w:proofErr w:type="spellStart"/>
            <w:r>
              <w:t>Manatt</w:t>
            </w:r>
            <w:proofErr w:type="spellEnd"/>
          </w:p>
        </w:tc>
        <w:tc>
          <w:tcPr>
            <w:tcW w:w="5845" w:type="dxa"/>
          </w:tcPr>
          <w:p w14:paraId="0157B126" w14:textId="77777777" w:rsidR="00A1336C" w:rsidRDefault="00F54D77" w:rsidP="00AC4A85">
            <w:pPr>
              <w:pStyle w:val="ListParagraph"/>
              <w:numPr>
                <w:ilvl w:val="0"/>
                <w:numId w:val="12"/>
              </w:numPr>
              <w:spacing w:after="0"/>
              <w:rPr>
                <w:i/>
                <w:szCs w:val="22"/>
              </w:rPr>
            </w:pPr>
            <w:r>
              <w:rPr>
                <w:szCs w:val="22"/>
              </w:rPr>
              <w:t xml:space="preserve">Alice Lam of </w:t>
            </w:r>
            <w:proofErr w:type="spellStart"/>
            <w:r>
              <w:rPr>
                <w:szCs w:val="22"/>
              </w:rPr>
              <w:t>Manatt</w:t>
            </w:r>
            <w:proofErr w:type="spellEnd"/>
            <w:r>
              <w:rPr>
                <w:szCs w:val="22"/>
              </w:rPr>
              <w:t xml:space="preserve"> </w:t>
            </w:r>
            <w:r w:rsidR="003B5237">
              <w:rPr>
                <w:szCs w:val="22"/>
              </w:rPr>
              <w:t xml:space="preserve">presented </w:t>
            </w:r>
            <w:proofErr w:type="gramStart"/>
            <w:r w:rsidR="003B5237">
              <w:rPr>
                <w:szCs w:val="22"/>
              </w:rPr>
              <w:t>on  structural</w:t>
            </w:r>
            <w:proofErr w:type="gramEnd"/>
            <w:r w:rsidR="003B5237">
              <w:rPr>
                <w:szCs w:val="22"/>
              </w:rPr>
              <w:t xml:space="preserve"> barriers</w:t>
            </w:r>
            <w:r w:rsidR="00AC4A85">
              <w:rPr>
                <w:szCs w:val="22"/>
              </w:rPr>
              <w:t xml:space="preserve"> to access to care and coverage,  noting they may arise from potential</w:t>
            </w:r>
            <w:r>
              <w:rPr>
                <w:szCs w:val="22"/>
              </w:rPr>
              <w:t xml:space="preserve"> misalignment in coverage program</w:t>
            </w:r>
            <w:r w:rsidR="00AC4A85">
              <w:rPr>
                <w:szCs w:val="22"/>
              </w:rPr>
              <w:t xml:space="preserve"> features</w:t>
            </w:r>
            <w:r>
              <w:rPr>
                <w:szCs w:val="22"/>
              </w:rPr>
              <w:t xml:space="preserve"> </w:t>
            </w:r>
            <w:r w:rsidR="00AC4A85">
              <w:rPr>
                <w:szCs w:val="22"/>
              </w:rPr>
              <w:t>including:</w:t>
            </w:r>
            <w:r>
              <w:rPr>
                <w:szCs w:val="22"/>
              </w:rPr>
              <w:t xml:space="preserve"> benefit design, health plans, and provider networks.</w:t>
            </w:r>
            <w:r w:rsidR="003B5237">
              <w:rPr>
                <w:szCs w:val="22"/>
              </w:rPr>
              <w:t xml:space="preserve"> </w:t>
            </w:r>
          </w:p>
        </w:tc>
      </w:tr>
      <w:tr w:rsidR="00A1336C" w14:paraId="0157B130" w14:textId="77777777" w:rsidTr="00C44D92">
        <w:tc>
          <w:tcPr>
            <w:tcW w:w="3235" w:type="dxa"/>
          </w:tcPr>
          <w:p w14:paraId="0157B128" w14:textId="77777777" w:rsidR="00A1336C" w:rsidRDefault="007B6BB5" w:rsidP="001B15A4">
            <w:pPr>
              <w:rPr>
                <w:b/>
                <w:szCs w:val="22"/>
              </w:rPr>
            </w:pPr>
            <w:r>
              <w:rPr>
                <w:b/>
                <w:szCs w:val="22"/>
              </w:rPr>
              <w:t>Options and Considerations for Reducing Structural Barriers, Part 1</w:t>
            </w:r>
          </w:p>
        </w:tc>
        <w:tc>
          <w:tcPr>
            <w:tcW w:w="1710" w:type="dxa"/>
          </w:tcPr>
          <w:p w14:paraId="0157B129" w14:textId="77777777" w:rsidR="00A1336C" w:rsidRDefault="00332AD7" w:rsidP="001B15A4">
            <w:proofErr w:type="spellStart"/>
            <w:r>
              <w:t>Manatt</w:t>
            </w:r>
            <w:proofErr w:type="spellEnd"/>
          </w:p>
        </w:tc>
        <w:tc>
          <w:tcPr>
            <w:tcW w:w="5845" w:type="dxa"/>
          </w:tcPr>
          <w:p w14:paraId="0157B12A" w14:textId="77777777" w:rsidR="007B6BB5" w:rsidRDefault="00F54D77" w:rsidP="007B6BB5">
            <w:pPr>
              <w:pStyle w:val="ListParagraph"/>
              <w:numPr>
                <w:ilvl w:val="0"/>
                <w:numId w:val="12"/>
              </w:numPr>
              <w:spacing w:after="0"/>
              <w:rPr>
                <w:szCs w:val="22"/>
              </w:rPr>
            </w:pPr>
            <w:r>
              <w:rPr>
                <w:szCs w:val="22"/>
              </w:rPr>
              <w:t xml:space="preserve">Ms. Lam </w:t>
            </w:r>
            <w:r w:rsidR="007B6BB5">
              <w:rPr>
                <w:szCs w:val="22"/>
              </w:rPr>
              <w:t xml:space="preserve">presented on the potential options and considerations for reducing structural barriers and disparities. </w:t>
            </w:r>
            <w:r>
              <w:rPr>
                <w:szCs w:val="22"/>
              </w:rPr>
              <w:t>She presented three categories for reducing structural barriers including</w:t>
            </w:r>
            <w:r w:rsidR="00164C07">
              <w:rPr>
                <w:szCs w:val="22"/>
              </w:rPr>
              <w:t>:</w:t>
            </w:r>
            <w:r>
              <w:rPr>
                <w:szCs w:val="22"/>
              </w:rPr>
              <w:t xml:space="preserve"> (1) align</w:t>
            </w:r>
            <w:r w:rsidR="00A376A7">
              <w:rPr>
                <w:szCs w:val="22"/>
              </w:rPr>
              <w:t>ing</w:t>
            </w:r>
            <w:r>
              <w:rPr>
                <w:szCs w:val="22"/>
              </w:rPr>
              <w:t xml:space="preserve"> benefits across the coverage continuum, (2) align</w:t>
            </w:r>
            <w:r w:rsidR="00A376A7">
              <w:rPr>
                <w:szCs w:val="22"/>
              </w:rPr>
              <w:t>ing</w:t>
            </w:r>
            <w:r>
              <w:rPr>
                <w:szCs w:val="22"/>
              </w:rPr>
              <w:t xml:space="preserve"> plans and providers across the coverage continuum, and (3) mitigat</w:t>
            </w:r>
            <w:r w:rsidR="00A376A7">
              <w:rPr>
                <w:szCs w:val="22"/>
              </w:rPr>
              <w:t>ing</w:t>
            </w:r>
            <w:r>
              <w:rPr>
                <w:szCs w:val="22"/>
              </w:rPr>
              <w:t xml:space="preserve"> disruptions in care during coverage transitions.</w:t>
            </w:r>
          </w:p>
          <w:p w14:paraId="0157B12B" w14:textId="77777777" w:rsidR="00164C07" w:rsidRPr="008F13C3" w:rsidRDefault="00164C07" w:rsidP="008F13C3">
            <w:pPr>
              <w:pStyle w:val="ListParagraph"/>
              <w:numPr>
                <w:ilvl w:val="0"/>
                <w:numId w:val="12"/>
              </w:numPr>
              <w:spacing w:after="0"/>
              <w:rPr>
                <w:i/>
                <w:szCs w:val="22"/>
              </w:rPr>
            </w:pPr>
            <w:r>
              <w:rPr>
                <w:szCs w:val="22"/>
              </w:rPr>
              <w:lastRenderedPageBreak/>
              <w:t xml:space="preserve">The workgroup discussed whether the goal of benefit alignment is to ensure access to the same benefits across the coverage continuum and allow for continuity as well as ease of understanding, or to provide access to certain high value benefits (e.g., adult dental). No clear consensus emerged. </w:t>
            </w:r>
          </w:p>
          <w:p w14:paraId="0157B12C" w14:textId="77777777" w:rsidR="00DE5969" w:rsidRPr="00DE5969" w:rsidRDefault="00EB4AB1" w:rsidP="00DE5969">
            <w:pPr>
              <w:pStyle w:val="ListParagraph"/>
              <w:numPr>
                <w:ilvl w:val="0"/>
                <w:numId w:val="12"/>
              </w:numPr>
              <w:spacing w:after="0"/>
              <w:rPr>
                <w:i/>
                <w:szCs w:val="22"/>
              </w:rPr>
            </w:pPr>
            <w:r>
              <w:rPr>
                <w:szCs w:val="22"/>
              </w:rPr>
              <w:t xml:space="preserve">The workgroup considered several potential options to bring alignment to benefits in Medical Assistance, </w:t>
            </w:r>
            <w:proofErr w:type="spellStart"/>
            <w:r>
              <w:rPr>
                <w:szCs w:val="22"/>
              </w:rPr>
              <w:t>MinnesotaCare</w:t>
            </w:r>
            <w:proofErr w:type="spellEnd"/>
            <w:r>
              <w:rPr>
                <w:szCs w:val="22"/>
              </w:rPr>
              <w:t>, and QHP coverage through MNsure</w:t>
            </w:r>
            <w:r w:rsidR="00DE5969">
              <w:rPr>
                <w:szCs w:val="22"/>
              </w:rPr>
              <w:t>:</w:t>
            </w:r>
          </w:p>
          <w:p w14:paraId="0157B12D" w14:textId="77777777" w:rsidR="00A1336C" w:rsidRPr="004210E5" w:rsidRDefault="00DE5969" w:rsidP="00A634C2">
            <w:pPr>
              <w:pStyle w:val="ListParagraph"/>
              <w:numPr>
                <w:ilvl w:val="1"/>
                <w:numId w:val="12"/>
              </w:numPr>
              <w:spacing w:after="0"/>
              <w:rPr>
                <w:i/>
                <w:szCs w:val="22"/>
              </w:rPr>
            </w:pPr>
            <w:r>
              <w:rPr>
                <w:i/>
                <w:szCs w:val="22"/>
              </w:rPr>
              <w:t xml:space="preserve">Use same benchmark plan to define EHB categories across programs: </w:t>
            </w:r>
            <w:r w:rsidR="009C1553">
              <w:rPr>
                <w:szCs w:val="22"/>
              </w:rPr>
              <w:t xml:space="preserve">Certain states, including New Hampshire, have elected to use the </w:t>
            </w:r>
            <w:r w:rsidR="003D4D74">
              <w:rPr>
                <w:szCs w:val="22"/>
              </w:rPr>
              <w:t xml:space="preserve">EHB benchmark </w:t>
            </w:r>
            <w:r w:rsidR="009C1553">
              <w:rPr>
                <w:szCs w:val="22"/>
              </w:rPr>
              <w:t xml:space="preserve">plan for Medicaid ABP and QHP to make essential health benefits nearly identical. </w:t>
            </w:r>
            <w:r w:rsidR="009C1553" w:rsidRPr="00A634C2">
              <w:rPr>
                <w:szCs w:val="22"/>
              </w:rPr>
              <w:t xml:space="preserve">The workgroup </w:t>
            </w:r>
            <w:r w:rsidR="009D7CA8" w:rsidRPr="00A634C2">
              <w:rPr>
                <w:szCs w:val="22"/>
              </w:rPr>
              <w:t>discussed the impact of selecting a more comprehensive benchmark in the pricing of products</w:t>
            </w:r>
            <w:r w:rsidR="0084407A">
              <w:rPr>
                <w:szCs w:val="22"/>
              </w:rPr>
              <w:t xml:space="preserve"> and the interrelatedness of benefit, network, and product design</w:t>
            </w:r>
            <w:r w:rsidR="009D7CA8" w:rsidRPr="00A634C2">
              <w:rPr>
                <w:szCs w:val="22"/>
              </w:rPr>
              <w:t xml:space="preserve">. Unless the product design or provider network changes, increasing benefits will </w:t>
            </w:r>
            <w:r w:rsidR="00EB4AB1">
              <w:rPr>
                <w:szCs w:val="22"/>
              </w:rPr>
              <w:t xml:space="preserve">likely </w:t>
            </w:r>
            <w:r w:rsidR="009D7CA8" w:rsidRPr="00A634C2">
              <w:rPr>
                <w:szCs w:val="22"/>
              </w:rPr>
              <w:t xml:space="preserve">result in higher product costs. </w:t>
            </w:r>
            <w:r w:rsidR="00EB4AB1">
              <w:rPr>
                <w:szCs w:val="22"/>
              </w:rPr>
              <w:t>The w</w:t>
            </w:r>
            <w:r w:rsidR="00A634C2">
              <w:rPr>
                <w:szCs w:val="22"/>
              </w:rPr>
              <w:t xml:space="preserve">orkgroup also discussed </w:t>
            </w:r>
            <w:r w:rsidR="00EB4AB1">
              <w:rPr>
                <w:szCs w:val="22"/>
              </w:rPr>
              <w:t xml:space="preserve">motivation for states to default to the </w:t>
            </w:r>
            <w:r w:rsidR="00A634C2">
              <w:rPr>
                <w:szCs w:val="22"/>
              </w:rPr>
              <w:t>small group</w:t>
            </w:r>
            <w:r w:rsidR="00EB4AB1">
              <w:rPr>
                <w:szCs w:val="22"/>
              </w:rPr>
              <w:t xml:space="preserve"> </w:t>
            </w:r>
            <w:r w:rsidR="00A634C2">
              <w:rPr>
                <w:szCs w:val="22"/>
              </w:rPr>
              <w:t>benchmark</w:t>
            </w:r>
            <w:r w:rsidR="00EB4AB1">
              <w:rPr>
                <w:szCs w:val="22"/>
              </w:rPr>
              <w:t xml:space="preserve">. </w:t>
            </w:r>
            <w:r w:rsidR="00A634C2">
              <w:rPr>
                <w:szCs w:val="22"/>
              </w:rPr>
              <w:t xml:space="preserve"> </w:t>
            </w:r>
            <w:r w:rsidR="00EB4AB1">
              <w:rPr>
                <w:szCs w:val="22"/>
              </w:rPr>
              <w:t xml:space="preserve">One workgroup member posited that using the small group </w:t>
            </w:r>
            <w:proofErr w:type="gramStart"/>
            <w:r w:rsidR="00EB4AB1">
              <w:rPr>
                <w:szCs w:val="22"/>
              </w:rPr>
              <w:t xml:space="preserve">benchmark </w:t>
            </w:r>
            <w:r w:rsidR="00A634C2">
              <w:rPr>
                <w:szCs w:val="22"/>
              </w:rPr>
              <w:t xml:space="preserve"> reduce</w:t>
            </w:r>
            <w:r w:rsidR="00EB4AB1">
              <w:rPr>
                <w:szCs w:val="22"/>
              </w:rPr>
              <w:t>s</w:t>
            </w:r>
            <w:proofErr w:type="gramEnd"/>
            <w:r w:rsidR="00A634C2">
              <w:rPr>
                <w:szCs w:val="22"/>
              </w:rPr>
              <w:t xml:space="preserve"> the distortion for individuals transitioning between those coverage types. The workgroup </w:t>
            </w:r>
            <w:r w:rsidR="00EB4AB1">
              <w:rPr>
                <w:szCs w:val="22"/>
              </w:rPr>
              <w:t>agreed</w:t>
            </w:r>
            <w:r w:rsidR="00A634C2">
              <w:rPr>
                <w:szCs w:val="22"/>
              </w:rPr>
              <w:t xml:space="preserve"> that aligning benefits will </w:t>
            </w:r>
            <w:r w:rsidR="00EB4AB1">
              <w:rPr>
                <w:szCs w:val="22"/>
              </w:rPr>
              <w:t>simplify</w:t>
            </w:r>
            <w:r w:rsidR="00A634C2">
              <w:rPr>
                <w:szCs w:val="22"/>
              </w:rPr>
              <w:t xml:space="preserve"> administrati</w:t>
            </w:r>
            <w:r w:rsidR="00EB4AB1">
              <w:rPr>
                <w:szCs w:val="22"/>
              </w:rPr>
              <w:t>on</w:t>
            </w:r>
            <w:r w:rsidR="00A634C2">
              <w:rPr>
                <w:szCs w:val="22"/>
              </w:rPr>
              <w:t xml:space="preserve"> and reduc</w:t>
            </w:r>
            <w:r w:rsidR="00EB4AB1">
              <w:rPr>
                <w:szCs w:val="22"/>
              </w:rPr>
              <w:t>e</w:t>
            </w:r>
            <w:r w:rsidR="00A634C2">
              <w:rPr>
                <w:szCs w:val="22"/>
              </w:rPr>
              <w:t xml:space="preserve"> consumer confusion but may do so at the cost of reducing consumer choice. </w:t>
            </w:r>
          </w:p>
          <w:p w14:paraId="0157B12E" w14:textId="77777777" w:rsidR="00D122E4" w:rsidRPr="00D122E4" w:rsidRDefault="00393567" w:rsidP="00393567">
            <w:pPr>
              <w:pStyle w:val="ListParagraph"/>
              <w:numPr>
                <w:ilvl w:val="1"/>
                <w:numId w:val="12"/>
              </w:numPr>
              <w:spacing w:after="0"/>
              <w:rPr>
                <w:i/>
                <w:szCs w:val="22"/>
              </w:rPr>
            </w:pPr>
            <w:r>
              <w:rPr>
                <w:i/>
                <w:szCs w:val="22"/>
              </w:rPr>
              <w:t>Add a new EHB category to cover a highly valued service</w:t>
            </w:r>
            <w:r>
              <w:rPr>
                <w:szCs w:val="22"/>
              </w:rPr>
              <w:t>: Minnesota could elect to add a new category, such as dental coverage for adults, to ensure access to a highly valued service. A</w:t>
            </w:r>
            <w:r w:rsidR="00692000">
              <w:rPr>
                <w:szCs w:val="22"/>
              </w:rPr>
              <w:t>s currently provided in law, a</w:t>
            </w:r>
            <w:r>
              <w:rPr>
                <w:szCs w:val="22"/>
              </w:rPr>
              <w:t>dult dental and vision are prohibited from being considered an EHB</w:t>
            </w:r>
            <w:r w:rsidR="00692000">
              <w:rPr>
                <w:szCs w:val="22"/>
              </w:rPr>
              <w:t xml:space="preserve"> even if the benchmark plan covers those services. The </w:t>
            </w:r>
            <w:r w:rsidR="00D122E4">
              <w:rPr>
                <w:szCs w:val="22"/>
              </w:rPr>
              <w:t>workgroup discussed considerations for adding an EHB category</w:t>
            </w:r>
            <w:r w:rsidR="00ED6143">
              <w:rPr>
                <w:szCs w:val="22"/>
              </w:rPr>
              <w:t>. Since EHBs apply to the broader individual and small group coverage, adding an EHB category will have broader ramifications</w:t>
            </w:r>
            <w:r w:rsidR="00D122E4">
              <w:rPr>
                <w:szCs w:val="22"/>
              </w:rPr>
              <w:t xml:space="preserve">. The workgroup agreed that if an EHB category were added through a 1332 waiver the state would need to consider offsetting the cost to the federal government. </w:t>
            </w:r>
          </w:p>
          <w:p w14:paraId="0157B12F" w14:textId="77777777" w:rsidR="00692000" w:rsidRDefault="00692000" w:rsidP="00692000">
            <w:pPr>
              <w:pStyle w:val="ListParagraph"/>
              <w:numPr>
                <w:ilvl w:val="0"/>
                <w:numId w:val="12"/>
              </w:numPr>
              <w:spacing w:after="0"/>
              <w:rPr>
                <w:i/>
                <w:szCs w:val="22"/>
              </w:rPr>
            </w:pPr>
            <w:r>
              <w:rPr>
                <w:szCs w:val="22"/>
              </w:rPr>
              <w:t xml:space="preserve">Due to time constraints, the remaining discussion was tabled to the next meeting. </w:t>
            </w:r>
          </w:p>
        </w:tc>
      </w:tr>
    </w:tbl>
    <w:p w14:paraId="0157B132" w14:textId="69C4BD8B" w:rsidR="002169AB" w:rsidRPr="00383739" w:rsidRDefault="004A08A3" w:rsidP="001C0E0A">
      <w:pPr>
        <w:spacing w:before="480" w:line="200" w:lineRule="exact"/>
      </w:pPr>
      <w:bookmarkStart w:id="0" w:name="_GoBack"/>
      <w:bookmarkEnd w:id="0"/>
      <w:r>
        <w:rPr>
          <w:noProof/>
        </w:rPr>
        <w:lastRenderedPageBreak/>
        <mc:AlternateContent>
          <mc:Choice Requires="wps">
            <w:drawing>
              <wp:anchor distT="0" distB="0" distL="114300" distR="114300" simplePos="0" relativeHeight="251658240" behindDoc="0" locked="0" layoutInCell="1" allowOverlap="1" wp14:anchorId="2B266AA6" wp14:editId="24CB2916">
                <wp:simplePos x="0" y="0"/>
                <wp:positionH relativeFrom="column">
                  <wp:posOffset>48126</wp:posOffset>
                </wp:positionH>
                <wp:positionV relativeFrom="paragraph">
                  <wp:posOffset>427522</wp:posOffset>
                </wp:positionV>
                <wp:extent cx="6721434" cy="3051958"/>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6721434" cy="3051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57B142" w14:textId="77777777" w:rsidR="00BE7455" w:rsidRPr="00ED71EE" w:rsidRDefault="00BE7455" w:rsidP="00BE7455">
                            <w:pPr>
                              <w:jc w:val="center"/>
                              <w:rPr>
                                <w:b/>
                                <w:sz w:val="24"/>
                              </w:rPr>
                            </w:pPr>
                            <w:r w:rsidRPr="00ED71EE">
                              <w:rPr>
                                <w:b/>
                                <w:sz w:val="24"/>
                              </w:rPr>
                              <w:t>Health Care Financing Task Force</w:t>
                            </w:r>
                          </w:p>
                          <w:p w14:paraId="0157B143" w14:textId="77777777" w:rsidR="00BE7455" w:rsidRDefault="00BE7455" w:rsidP="00BE7455">
                            <w:r w:rsidRPr="0023228B">
                              <w:rPr>
                                <w:b/>
                                <w:u w:val="single"/>
                              </w:rPr>
                              <w:t>Vision</w:t>
                            </w:r>
                            <w:r w:rsidRPr="0023228B">
                              <w:rPr>
                                <w:b/>
                              </w:rPr>
                              <w:t>:</w:t>
                            </w:r>
                            <w:r>
                              <w:t xml:space="preserve"> Sustainable, quality health care for all Minnesotans</w:t>
                            </w:r>
                          </w:p>
                          <w:p w14:paraId="0157B144" w14:textId="77777777" w:rsidR="00BE7455" w:rsidRPr="00415577" w:rsidRDefault="00BE7455" w:rsidP="00BE7455">
                            <w:pPr>
                              <w:rPr>
                                <w:b/>
                              </w:rPr>
                            </w:pPr>
                            <w:r w:rsidRPr="0023228B">
                              <w:rPr>
                                <w:b/>
                                <w:u w:val="single"/>
                              </w:rPr>
                              <w:t>Guiding Principles</w:t>
                            </w:r>
                            <w:r>
                              <w:rPr>
                                <w:b/>
                              </w:rPr>
                              <w:t>:</w:t>
                            </w:r>
                          </w:p>
                          <w:p w14:paraId="0157B145" w14:textId="77777777" w:rsidR="00BE7455" w:rsidRDefault="00BE7455" w:rsidP="00BE7455">
                            <w:pPr>
                              <w:ind w:left="720"/>
                            </w:pPr>
                            <w:r w:rsidRPr="0023228B">
                              <w:rPr>
                                <w:b/>
                                <w:i/>
                              </w:rPr>
                              <w:t xml:space="preserve">Realistic: </w:t>
                            </w:r>
                            <w:r>
                              <w:t>The task force will make recommendations that can realistically be implemented.</w:t>
                            </w:r>
                          </w:p>
                          <w:p w14:paraId="0157B146" w14:textId="77777777" w:rsidR="00BE7455" w:rsidRDefault="00BE7455" w:rsidP="00BE7455">
                            <w:pPr>
                              <w:ind w:left="720"/>
                            </w:pPr>
                            <w:r w:rsidRPr="0023228B">
                              <w:rPr>
                                <w:b/>
                                <w:i/>
                              </w:rPr>
                              <w:t>High Value Impact:</w:t>
                            </w:r>
                            <w:r>
                              <w:t xml:space="preserve"> The task force will seek recommendations that have high value and are meaningful to Minnesota’s health care reform efforts.</w:t>
                            </w:r>
                          </w:p>
                          <w:p w14:paraId="0157B147" w14:textId="77777777" w:rsidR="00BE7455" w:rsidRDefault="00BE7455" w:rsidP="00BE7455">
                            <w:pPr>
                              <w:ind w:left="720"/>
                            </w:pPr>
                            <w:r w:rsidRPr="0023228B">
                              <w:rPr>
                                <w:b/>
                                <w:i/>
                              </w:rPr>
                              <w:t>Holistic Perspective:</w:t>
                            </w:r>
                            <w:r>
                              <w:t xml:space="preserve"> The task force understands that health care finance and our recommendations do not exist in a vacuum, and are components of the health care and population health systems</w:t>
                            </w:r>
                          </w:p>
                          <w:p w14:paraId="0157B148" w14:textId="77777777" w:rsidR="00BE7455" w:rsidRDefault="00BE7455" w:rsidP="00BE7455">
                            <w:pPr>
                              <w:ind w:left="720"/>
                            </w:pPr>
                            <w:r w:rsidRPr="0023228B">
                              <w:rPr>
                                <w:b/>
                                <w:i/>
                              </w:rPr>
                              <w:t>Focus:</w:t>
                            </w:r>
                            <w:r>
                              <w:t xml:space="preserve"> The task force recognizes that health care financing and system reform is extremely complex and it will contribute to the broader policy debates by focusing its time and attention on the issues it is charged with addressing. </w:t>
                            </w:r>
                          </w:p>
                          <w:p w14:paraId="0157B149" w14:textId="77777777" w:rsidR="00BE7455" w:rsidRDefault="00BE7455" w:rsidP="00BE7455">
                            <w:pPr>
                              <w:ind w:left="720"/>
                            </w:pPr>
                            <w:r w:rsidRPr="0023228B">
                              <w:rPr>
                                <w:b/>
                                <w:i/>
                              </w:rPr>
                              <w:t>Innovation:</w:t>
                            </w:r>
                            <w:r>
                              <w:t xml:space="preserve"> The task force is encouraged to identify opportunities for innovation in Minnesota’s health care financing and delivery systems which show promise for lowering costs, improving population health and improving the patient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66AA6" id="_x0000_t202" coordsize="21600,21600" o:spt="202" path="m,l,21600r21600,l21600,xe">
                <v:stroke joinstyle="miter"/>
                <v:path gradientshapeok="t" o:connecttype="rect"/>
              </v:shapetype>
              <v:shape id="Text Box 3" o:spid="_x0000_s1026" type="#_x0000_t202" style="position:absolute;margin-left:3.8pt;margin-top:33.65pt;width:529.25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" fillcolor="white [3201]" strokeweight=".5pt">
                <v:textbox>
                  <w:txbxContent>
                    <w:p w14:paraId="0157B142" w14:textId="77777777" w:rsidR="00BE7455" w:rsidRPr="00ED71EE" w:rsidRDefault="00BE7455" w:rsidP="00BE7455">
                      <w:pPr>
                        <w:jc w:val="center"/>
                        <w:rPr>
                          <w:b/>
                          <w:sz w:val="24"/>
                        </w:rPr>
                      </w:pPr>
                      <w:r w:rsidRPr="00ED71EE">
                        <w:rPr>
                          <w:b/>
                          <w:sz w:val="24"/>
                        </w:rPr>
                        <w:t>Health Care Financing Task Force</w:t>
                      </w:r>
                    </w:p>
                    <w:p w14:paraId="0157B143" w14:textId="77777777" w:rsidR="00BE7455" w:rsidRDefault="00BE7455" w:rsidP="00BE7455">
                      <w:r w:rsidRPr="0023228B">
                        <w:rPr>
                          <w:b/>
                          <w:u w:val="single"/>
                        </w:rPr>
                        <w:t>Vision</w:t>
                      </w:r>
                      <w:r w:rsidRPr="0023228B">
                        <w:rPr>
                          <w:b/>
                        </w:rPr>
                        <w:t>:</w:t>
                      </w:r>
                      <w:r>
                        <w:t xml:space="preserve"> Sustainable, quality health care for all Minnesotans</w:t>
                      </w:r>
                    </w:p>
                    <w:p w14:paraId="0157B144" w14:textId="77777777" w:rsidR="00BE7455" w:rsidRPr="00415577" w:rsidRDefault="00BE7455" w:rsidP="00BE7455">
                      <w:pPr>
                        <w:rPr>
                          <w:b/>
                        </w:rPr>
                      </w:pPr>
                      <w:r w:rsidRPr="0023228B">
                        <w:rPr>
                          <w:b/>
                          <w:u w:val="single"/>
                        </w:rPr>
                        <w:t>Guiding Principles</w:t>
                      </w:r>
                      <w:r>
                        <w:rPr>
                          <w:b/>
                        </w:rPr>
                        <w:t>:</w:t>
                      </w:r>
                    </w:p>
                    <w:p w14:paraId="0157B145" w14:textId="77777777" w:rsidR="00BE7455" w:rsidRDefault="00BE7455" w:rsidP="00BE7455">
                      <w:pPr>
                        <w:ind w:left="720"/>
                      </w:pPr>
                      <w:r w:rsidRPr="0023228B">
                        <w:rPr>
                          <w:b/>
                          <w:i/>
                        </w:rPr>
                        <w:t xml:space="preserve">Realistic: </w:t>
                      </w:r>
                      <w:r>
                        <w:t>The task force will make recommendations that can realistically be implemented.</w:t>
                      </w:r>
                    </w:p>
                    <w:p w14:paraId="0157B146" w14:textId="77777777" w:rsidR="00BE7455" w:rsidRDefault="00BE7455" w:rsidP="00BE7455">
                      <w:pPr>
                        <w:ind w:left="720"/>
                      </w:pPr>
                      <w:r w:rsidRPr="0023228B">
                        <w:rPr>
                          <w:b/>
                          <w:i/>
                        </w:rPr>
                        <w:t>High Value Impact:</w:t>
                      </w:r>
                      <w:r>
                        <w:t xml:space="preserve"> The task force will seek recommendations that have high value and are meaningful to Minnesota’s health care reform efforts.</w:t>
                      </w:r>
                    </w:p>
                    <w:p w14:paraId="0157B147" w14:textId="77777777" w:rsidR="00BE7455" w:rsidRDefault="00BE7455" w:rsidP="00BE7455">
                      <w:pPr>
                        <w:ind w:left="720"/>
                      </w:pPr>
                      <w:r w:rsidRPr="0023228B">
                        <w:rPr>
                          <w:b/>
                          <w:i/>
                        </w:rPr>
                        <w:t>Holistic Perspective:</w:t>
                      </w:r>
                      <w:r>
                        <w:t xml:space="preserve"> The task force understands that health care finance and our recommendations do not exist in a vacuum, and are components of the health care and population health systems</w:t>
                      </w:r>
                    </w:p>
                    <w:p w14:paraId="0157B148" w14:textId="77777777" w:rsidR="00BE7455" w:rsidRDefault="00BE7455" w:rsidP="00BE7455">
                      <w:pPr>
                        <w:ind w:left="720"/>
                      </w:pPr>
                      <w:r w:rsidRPr="0023228B">
                        <w:rPr>
                          <w:b/>
                          <w:i/>
                        </w:rPr>
                        <w:t>Focus:</w:t>
                      </w:r>
                      <w:r>
                        <w:t xml:space="preserve"> The task force recognizes that health care financing and system reform is extremely complex and it will contribute to the broader policy debates by focusing its time and attention on the issues it is charged with addressing. </w:t>
                      </w:r>
                    </w:p>
                    <w:p w14:paraId="0157B149" w14:textId="77777777" w:rsidR="00BE7455" w:rsidRDefault="00BE7455" w:rsidP="00BE7455">
                      <w:pPr>
                        <w:ind w:left="720"/>
                      </w:pPr>
                      <w:r w:rsidRPr="0023228B">
                        <w:rPr>
                          <w:b/>
                          <w:i/>
                        </w:rPr>
                        <w:t>Innovation:</w:t>
                      </w:r>
                      <w:r>
                        <w:t xml:space="preserve"> The task force is encouraged to identify opportunities for innovation in Minnesota’s health care financing and delivery systems which show promise for lowering costs, improving population health and improving the patient experience.</w:t>
                      </w:r>
                    </w:p>
                  </w:txbxContent>
                </v:textbox>
              </v:shape>
            </w:pict>
          </mc:Fallback>
        </mc:AlternateContent>
      </w: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4E5F" w14:textId="77777777" w:rsidR="00226EE3" w:rsidRDefault="00226EE3" w:rsidP="003C1BA8">
      <w:r>
        <w:separator/>
      </w:r>
    </w:p>
  </w:endnote>
  <w:endnote w:type="continuationSeparator" w:id="0">
    <w:p w14:paraId="7F427FF6" w14:textId="77777777" w:rsidR="00226EE3" w:rsidRDefault="00226EE3"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0157B13A"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4A08A3" w:rsidRPr="004A08A3">
          <w:rPr>
            <w:b/>
            <w:bCs/>
            <w:noProof/>
            <w:sz w:val="20"/>
            <w:szCs w:val="20"/>
          </w:rPr>
          <w:t>3</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0157B13B"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13D"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0157B140" wp14:editId="0157B141">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0157B14A"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157B14B"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0157B140" id="Group 1" o:spid="_x0000_s1027"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8"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9"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0157B14A"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0157B14B"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30"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A58E4" w14:textId="77777777" w:rsidR="00226EE3" w:rsidRDefault="00226EE3" w:rsidP="003C1BA8">
      <w:r>
        <w:separator/>
      </w:r>
    </w:p>
  </w:footnote>
  <w:footnote w:type="continuationSeparator" w:id="0">
    <w:p w14:paraId="781AF68C" w14:textId="77777777" w:rsidR="00226EE3" w:rsidRDefault="00226EE3"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139" w14:textId="77777777" w:rsidR="00833D3E" w:rsidRDefault="00833D3E" w:rsidP="00833D3E">
    <w:pPr>
      <w:pStyle w:val="Title"/>
    </w:pPr>
    <w:r w:rsidRPr="00833D3E">
      <w:rPr>
        <w:b/>
        <w:sz w:val="20"/>
        <w:szCs w:val="20"/>
      </w:rPr>
      <w:t>2015 Health Care Financing Task Force Members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B13C" w14:textId="77777777" w:rsidR="00295581" w:rsidRDefault="006406F9" w:rsidP="006406F9">
    <w:pPr>
      <w:pStyle w:val="Header"/>
      <w:tabs>
        <w:tab w:val="clear" w:pos="9360"/>
        <w:tab w:val="left" w:pos="5828"/>
      </w:tabs>
    </w:pPr>
    <w:r>
      <w:rPr>
        <w:noProof/>
      </w:rPr>
      <w:drawing>
        <wp:inline distT="0" distB="0" distL="0" distR="0" wp14:anchorId="0157B13E" wp14:editId="0157B13F">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B29CB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265467.1"/>
    <w:docVar w:name="MPDocIDTemplateDefault" w:val="%n|.%v"/>
    <w:docVar w:name="NewDocStampType" w:val="7"/>
  </w:docVars>
  <w:rsids>
    <w:rsidRoot w:val="004939AD"/>
    <w:rsid w:val="000155CC"/>
    <w:rsid w:val="00016335"/>
    <w:rsid w:val="00032826"/>
    <w:rsid w:val="000408FA"/>
    <w:rsid w:val="00052167"/>
    <w:rsid w:val="00056FAA"/>
    <w:rsid w:val="0006799E"/>
    <w:rsid w:val="000A0D4D"/>
    <w:rsid w:val="000B374F"/>
    <w:rsid w:val="001053D2"/>
    <w:rsid w:val="001111D4"/>
    <w:rsid w:val="001115D0"/>
    <w:rsid w:val="00113696"/>
    <w:rsid w:val="00117B4F"/>
    <w:rsid w:val="001323AF"/>
    <w:rsid w:val="00155822"/>
    <w:rsid w:val="00164C07"/>
    <w:rsid w:val="00167440"/>
    <w:rsid w:val="0018535F"/>
    <w:rsid w:val="001A033C"/>
    <w:rsid w:val="001A7EEC"/>
    <w:rsid w:val="001B15A4"/>
    <w:rsid w:val="001B1BB2"/>
    <w:rsid w:val="001B3332"/>
    <w:rsid w:val="001C0E0A"/>
    <w:rsid w:val="001F330A"/>
    <w:rsid w:val="001F730D"/>
    <w:rsid w:val="00206C5B"/>
    <w:rsid w:val="002169AB"/>
    <w:rsid w:val="00226EE3"/>
    <w:rsid w:val="0023423E"/>
    <w:rsid w:val="00256C01"/>
    <w:rsid w:val="002603D7"/>
    <w:rsid w:val="00261C88"/>
    <w:rsid w:val="002625B3"/>
    <w:rsid w:val="00265544"/>
    <w:rsid w:val="00277DF7"/>
    <w:rsid w:val="00282687"/>
    <w:rsid w:val="00293CED"/>
    <w:rsid w:val="00295581"/>
    <w:rsid w:val="002B68CD"/>
    <w:rsid w:val="002D4281"/>
    <w:rsid w:val="002D4925"/>
    <w:rsid w:val="002D4C6A"/>
    <w:rsid w:val="00304D1E"/>
    <w:rsid w:val="00314455"/>
    <w:rsid w:val="00325073"/>
    <w:rsid w:val="00326333"/>
    <w:rsid w:val="00332AD7"/>
    <w:rsid w:val="00335613"/>
    <w:rsid w:val="00341D66"/>
    <w:rsid w:val="0034405D"/>
    <w:rsid w:val="0034528C"/>
    <w:rsid w:val="00345C6B"/>
    <w:rsid w:val="003513BA"/>
    <w:rsid w:val="00357DFC"/>
    <w:rsid w:val="00360125"/>
    <w:rsid w:val="00364DDF"/>
    <w:rsid w:val="003740F5"/>
    <w:rsid w:val="00377E55"/>
    <w:rsid w:val="00383739"/>
    <w:rsid w:val="00393567"/>
    <w:rsid w:val="003B5237"/>
    <w:rsid w:val="003B6406"/>
    <w:rsid w:val="003C1BA8"/>
    <w:rsid w:val="003D4D74"/>
    <w:rsid w:val="003D5334"/>
    <w:rsid w:val="003E0E60"/>
    <w:rsid w:val="003E6EA8"/>
    <w:rsid w:val="003F56DA"/>
    <w:rsid w:val="00404E22"/>
    <w:rsid w:val="004210E5"/>
    <w:rsid w:val="0042287E"/>
    <w:rsid w:val="00445928"/>
    <w:rsid w:val="00450668"/>
    <w:rsid w:val="0046778D"/>
    <w:rsid w:val="004939AD"/>
    <w:rsid w:val="004A08A3"/>
    <w:rsid w:val="004D1AF2"/>
    <w:rsid w:val="004D7730"/>
    <w:rsid w:val="004E2354"/>
    <w:rsid w:val="00536750"/>
    <w:rsid w:val="00542B7C"/>
    <w:rsid w:val="00551A5E"/>
    <w:rsid w:val="00551E96"/>
    <w:rsid w:val="00557369"/>
    <w:rsid w:val="00574780"/>
    <w:rsid w:val="0058322B"/>
    <w:rsid w:val="005862F9"/>
    <w:rsid w:val="00587469"/>
    <w:rsid w:val="005B06EE"/>
    <w:rsid w:val="005B3B37"/>
    <w:rsid w:val="005B7CD7"/>
    <w:rsid w:val="005C6630"/>
    <w:rsid w:val="005E050F"/>
    <w:rsid w:val="005E3DE6"/>
    <w:rsid w:val="005F7F1D"/>
    <w:rsid w:val="006216BA"/>
    <w:rsid w:val="00636BF3"/>
    <w:rsid w:val="006406F9"/>
    <w:rsid w:val="00692000"/>
    <w:rsid w:val="006A6AD4"/>
    <w:rsid w:val="006B560C"/>
    <w:rsid w:val="006B5B9F"/>
    <w:rsid w:val="006C712C"/>
    <w:rsid w:val="006D3AAC"/>
    <w:rsid w:val="006D68DA"/>
    <w:rsid w:val="006F4045"/>
    <w:rsid w:val="006F452E"/>
    <w:rsid w:val="00703A64"/>
    <w:rsid w:val="00706FA2"/>
    <w:rsid w:val="00722009"/>
    <w:rsid w:val="0074353E"/>
    <w:rsid w:val="0074619B"/>
    <w:rsid w:val="00762220"/>
    <w:rsid w:val="00763EA4"/>
    <w:rsid w:val="00771D49"/>
    <w:rsid w:val="007A3C8B"/>
    <w:rsid w:val="007A7AC2"/>
    <w:rsid w:val="007B2C83"/>
    <w:rsid w:val="007B6BB5"/>
    <w:rsid w:val="007C3279"/>
    <w:rsid w:val="007C6E4D"/>
    <w:rsid w:val="007E5F17"/>
    <w:rsid w:val="008110BA"/>
    <w:rsid w:val="00833D3E"/>
    <w:rsid w:val="0084407A"/>
    <w:rsid w:val="00853158"/>
    <w:rsid w:val="008768E8"/>
    <w:rsid w:val="008859D0"/>
    <w:rsid w:val="008A1053"/>
    <w:rsid w:val="008A541A"/>
    <w:rsid w:val="008B0BFC"/>
    <w:rsid w:val="008D1CC2"/>
    <w:rsid w:val="008D7E81"/>
    <w:rsid w:val="008E6733"/>
    <w:rsid w:val="008F13C3"/>
    <w:rsid w:val="008F70EB"/>
    <w:rsid w:val="0090211C"/>
    <w:rsid w:val="0090518D"/>
    <w:rsid w:val="00906E92"/>
    <w:rsid w:val="00936B3A"/>
    <w:rsid w:val="009437B9"/>
    <w:rsid w:val="00947C0F"/>
    <w:rsid w:val="009A04CD"/>
    <w:rsid w:val="009B406D"/>
    <w:rsid w:val="009B50AD"/>
    <w:rsid w:val="009C1553"/>
    <w:rsid w:val="009D0330"/>
    <w:rsid w:val="009D7CA8"/>
    <w:rsid w:val="009E5D88"/>
    <w:rsid w:val="00A017E9"/>
    <w:rsid w:val="00A1336C"/>
    <w:rsid w:val="00A31069"/>
    <w:rsid w:val="00A376A7"/>
    <w:rsid w:val="00A47F87"/>
    <w:rsid w:val="00A634C2"/>
    <w:rsid w:val="00A6759A"/>
    <w:rsid w:val="00AB317C"/>
    <w:rsid w:val="00AB7371"/>
    <w:rsid w:val="00AC4A85"/>
    <w:rsid w:val="00AD5325"/>
    <w:rsid w:val="00AE15E4"/>
    <w:rsid w:val="00B0757B"/>
    <w:rsid w:val="00B1057B"/>
    <w:rsid w:val="00B12B40"/>
    <w:rsid w:val="00B44004"/>
    <w:rsid w:val="00B80250"/>
    <w:rsid w:val="00BA00B4"/>
    <w:rsid w:val="00BE7455"/>
    <w:rsid w:val="00BF70E6"/>
    <w:rsid w:val="00BF7D50"/>
    <w:rsid w:val="00C01D07"/>
    <w:rsid w:val="00C10E48"/>
    <w:rsid w:val="00C11396"/>
    <w:rsid w:val="00C358AA"/>
    <w:rsid w:val="00C36C99"/>
    <w:rsid w:val="00C4064E"/>
    <w:rsid w:val="00C43AD3"/>
    <w:rsid w:val="00C44D92"/>
    <w:rsid w:val="00C55E1D"/>
    <w:rsid w:val="00C578AD"/>
    <w:rsid w:val="00C71FDC"/>
    <w:rsid w:val="00C95692"/>
    <w:rsid w:val="00C957A5"/>
    <w:rsid w:val="00C959C6"/>
    <w:rsid w:val="00CB2FAB"/>
    <w:rsid w:val="00CD1F9E"/>
    <w:rsid w:val="00D01736"/>
    <w:rsid w:val="00D122E4"/>
    <w:rsid w:val="00D1547E"/>
    <w:rsid w:val="00D50BC9"/>
    <w:rsid w:val="00D61CCF"/>
    <w:rsid w:val="00D805F2"/>
    <w:rsid w:val="00D86B4A"/>
    <w:rsid w:val="00D91068"/>
    <w:rsid w:val="00D949A3"/>
    <w:rsid w:val="00DB5915"/>
    <w:rsid w:val="00DB6F12"/>
    <w:rsid w:val="00DD67F0"/>
    <w:rsid w:val="00DE5969"/>
    <w:rsid w:val="00E012E1"/>
    <w:rsid w:val="00E165A3"/>
    <w:rsid w:val="00E23A93"/>
    <w:rsid w:val="00E26E21"/>
    <w:rsid w:val="00E30F11"/>
    <w:rsid w:val="00E470B7"/>
    <w:rsid w:val="00E4727B"/>
    <w:rsid w:val="00E71A49"/>
    <w:rsid w:val="00E90A6C"/>
    <w:rsid w:val="00EB34C4"/>
    <w:rsid w:val="00EB4AB1"/>
    <w:rsid w:val="00EB4FB5"/>
    <w:rsid w:val="00EB5ABE"/>
    <w:rsid w:val="00EB6852"/>
    <w:rsid w:val="00EC75DA"/>
    <w:rsid w:val="00ED0D5E"/>
    <w:rsid w:val="00ED6143"/>
    <w:rsid w:val="00F033AB"/>
    <w:rsid w:val="00F219CD"/>
    <w:rsid w:val="00F26C48"/>
    <w:rsid w:val="00F30848"/>
    <w:rsid w:val="00F54D77"/>
    <w:rsid w:val="00F54DDF"/>
    <w:rsid w:val="00F6030D"/>
    <w:rsid w:val="00F62838"/>
    <w:rsid w:val="00F65C58"/>
    <w:rsid w:val="00F66295"/>
    <w:rsid w:val="00F73EB5"/>
    <w:rsid w:val="00F838D4"/>
    <w:rsid w:val="00FB4CBA"/>
    <w:rsid w:val="00FC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B10F"/>
  <w15:docId w15:val="{8208948D-1528-4E61-9D0B-CCADF407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2625B3"/>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2dd71cc-4bfb-41e3-be0f-613a07434cdc">Financing Task Force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543447213EB4BA444317A17C5FC0E" ma:contentTypeVersion="1" ma:contentTypeDescription="Create a new document." ma:contentTypeScope="" ma:versionID="43e13fee27a1a9af8bb4b65c49b9027c">
  <xsd:schema xmlns:xsd="http://www.w3.org/2001/XMLSchema" xmlns:xs="http://www.w3.org/2001/XMLSchema" xmlns:p="http://schemas.microsoft.com/office/2006/metadata/properties" xmlns:ns2="f2dd71cc-4bfb-41e3-be0f-613a07434cdc" targetNamespace="http://schemas.microsoft.com/office/2006/metadata/properties" ma:root="true" ma:fieldsID="e7ef4931bfb4971ebe44e4209068a3a0" ns2:_="">
    <xsd:import namespace="f2dd71cc-4bfb-41e3-be0f-613a07434cd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d71cc-4bfb-41e3-be0f-613a07434cdc"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RS"/>
          <xsd:enumeration value="Call Center Documents"/>
          <xsd:enumeration value="Changes in Circumstance"/>
          <xsd:enumeration value="County Newsletter"/>
          <xsd:enumeration value="Employee Updates"/>
          <xsd:enumeration value="Financing Task Force"/>
          <xsd:enumeration value="Forms"/>
          <xsd:enumeration value="HCA Organizational docs"/>
          <xsd:enumeration value="Health Care Reform"/>
          <xsd:enumeration value="Health Plan Open Enrollment"/>
          <xsd:enumeration value="HPE"/>
          <xsd:enumeration value="MA-EPD"/>
          <xsd:enumeration value="Member Help Desk Resources"/>
          <xsd:enumeration value="Member Legislative Notice"/>
          <xsd:enumeration value="Member Web Pages"/>
          <xsd:enumeration value="Mental health"/>
          <xsd:enumeration value="MFPP 2015 Project"/>
          <xsd:enumeration value="MinnesotaCare Premiums"/>
          <xsd:enumeration value="MinnesotaCare Tax HH Workaround"/>
          <xsd:enumeration value="MNsure Implementation Plan (Oct28)+Related"/>
          <xsd:enumeration value="New Eligibility System"/>
          <xsd:enumeration value="Notices Project"/>
          <xsd:enumeration value="Other"/>
          <xsd:enumeration value="Paper application"/>
          <xsd:enumeration value="Pending Applications"/>
          <xsd:enumeration value="PIX Meetings"/>
          <xsd:enumeration value="Provider Application&amp;Enrollment"/>
          <xsd:enumeration value="Providers"/>
          <xsd:enumeration value="Renewals"/>
          <xsd:enumeration value="Research"/>
          <xsd:enumeration value="Reset"/>
          <xsd:enumeration value="Retro MA"/>
          <xsd:enumeration value="Special Needs BasicCare"/>
          <xsd:enumeration value="Special Needs Purchasing"/>
          <xsd:enumeration value="Tridion Migration"/>
          <xsd:enumeration value="Web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10/9/2013 7:52:38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10/9/2013 7:52:38 PM</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E0EA0-89B4-47ED-969C-C7ADA47B1309}">
  <ds:schemaRefs>
    <ds:schemaRef ds:uri="http://schemas.microsoft.com/office/2006/metadata/properties"/>
    <ds:schemaRef ds:uri="http://schemas.microsoft.com/office/infopath/2007/PartnerControls"/>
    <ds:schemaRef ds:uri="f2dd71cc-4bfb-41e3-be0f-613a07434cdc"/>
  </ds:schemaRefs>
</ds:datastoreItem>
</file>

<file path=customXml/itemProps2.xml><?xml version="1.0" encoding="utf-8"?>
<ds:datastoreItem xmlns:ds="http://schemas.openxmlformats.org/officeDocument/2006/customXml" ds:itemID="{9DC75930-F456-44C3-A0FA-507102173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d71cc-4bfb-41e3-be0f-613a0743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C20E-6B75-4D91-B353-2127E4707C06}">
  <ds:schemaRefs>
    <ds:schemaRef ds:uri="http://schemas.microsoft.com/sharepoint/events"/>
  </ds:schemaRefs>
</ds:datastoreItem>
</file>

<file path=customXml/itemProps4.xml><?xml version="1.0" encoding="utf-8"?>
<ds:datastoreItem xmlns:ds="http://schemas.openxmlformats.org/officeDocument/2006/customXml" ds:itemID="{B4A59313-F9BA-4184-BB1D-081DB583F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Barriers Workgroup 10 9 15 - Key Takeaways</vt:lpstr>
    </vt:vector>
  </TitlesOfParts>
  <Company>Minnesota Department of Health</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Workgroup 10 9 15 - Key Takeaways</dc:title>
  <dc:creator>Oconnor, Krista</dc:creator>
  <cp:lastModifiedBy>Schreier, Sandy</cp:lastModifiedBy>
  <cp:revision>3</cp:revision>
  <cp:lastPrinted>2013-11-15T17:36:00Z</cp:lastPrinted>
  <dcterms:created xsi:type="dcterms:W3CDTF">2015-10-21T12:29:00Z</dcterms:created>
  <dcterms:modified xsi:type="dcterms:W3CDTF">2015-10-21T12:31:00Z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0x010100A38543447213EB4BA444317A17C5FC0E</vt:lpwstr>
  </property>
</Properties>
</file>